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 xml:space="preserve">Fredrik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Iredahl</w:t>
      </w:r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spellEnd"/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  <w:lang w:eastAsia="sv-SE"/>
        </w:rPr>
        <w:t>Background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Exudative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wounds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cause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discomfort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for patients.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Introduction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a</w:t>
      </w:r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eastAsia="sv-SE"/>
        </w:rPr>
        <w:t>moisture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sensor to dressings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could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facilitate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change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dressings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only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when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needed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>.</w:t>
      </w:r>
      <w:proofErr w:type="gramEnd"/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aim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this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pilot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study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was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evaluate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ability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newly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developed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moisture</w:t>
      </w:r>
      <w:proofErr w:type="spellEnd"/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gramStart"/>
      <w:r>
        <w:rPr>
          <w:rFonts w:ascii="Arial" w:hAnsi="Arial" w:cs="Arial"/>
          <w:sz w:val="24"/>
          <w:szCs w:val="24"/>
          <w:lang w:eastAsia="sv-SE"/>
        </w:rPr>
        <w:t xml:space="preserve">sensor to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detect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moisture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in relation to the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absorbing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capacity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the dressing.</w:t>
      </w:r>
      <w:proofErr w:type="gramEnd"/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 xml:space="preserve">Materials and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Methods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: In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five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patients,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with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one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leg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ulcer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each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three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dressing</w:t>
      </w:r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eastAsia="sv-SE"/>
        </w:rPr>
        <w:t>changes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per patient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were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observed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>.</w:t>
      </w:r>
      <w:proofErr w:type="gram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Interval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dressing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change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was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according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clinical</w:t>
      </w:r>
      <w:proofErr w:type="spellEnd"/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spellStart"/>
      <w:r>
        <w:rPr>
          <w:rFonts w:ascii="Arial" w:hAnsi="Arial" w:cs="Arial"/>
          <w:sz w:val="24"/>
          <w:szCs w:val="24"/>
          <w:lang w:eastAsia="sv-SE"/>
        </w:rPr>
        <w:t>need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healthcare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professional's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decision. Sensor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activation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, dressing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weight</w:t>
      </w:r>
      <w:proofErr w:type="spellEnd"/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gramStart"/>
      <w:r>
        <w:rPr>
          <w:rFonts w:ascii="Arial" w:hAnsi="Arial" w:cs="Arial"/>
          <w:sz w:val="24"/>
          <w:szCs w:val="24"/>
          <w:lang w:eastAsia="sv-SE"/>
        </w:rPr>
        <w:t xml:space="preserve">and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complications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were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registered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>.</w:t>
      </w:r>
      <w:proofErr w:type="gramEnd"/>
      <w:r>
        <w:rPr>
          <w:rFonts w:ascii="Arial" w:hAnsi="Arial" w:cs="Arial"/>
          <w:sz w:val="24"/>
          <w:szCs w:val="24"/>
          <w:lang w:eastAsia="sv-SE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investigate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effect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dressing on sensor</w:t>
      </w:r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spellStart"/>
      <w:r>
        <w:rPr>
          <w:rFonts w:ascii="Arial" w:hAnsi="Arial" w:cs="Arial"/>
          <w:sz w:val="24"/>
          <w:szCs w:val="24"/>
          <w:lang w:eastAsia="sv-SE"/>
        </w:rPr>
        <w:t>activation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half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the observations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were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made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without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an extra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layer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non-woven</w:t>
      </w:r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spellStart"/>
      <w:r>
        <w:rPr>
          <w:rFonts w:ascii="Arial" w:hAnsi="Arial" w:cs="Arial"/>
          <w:sz w:val="24"/>
          <w:szCs w:val="24"/>
          <w:lang w:eastAsia="sv-SE"/>
        </w:rPr>
        <w:t>between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the dressing and sensor (Variant A), and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half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with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(Variant B).</w:t>
      </w:r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spellStart"/>
      <w:r>
        <w:rPr>
          <w:rFonts w:ascii="Arial" w:hAnsi="Arial" w:cs="Arial"/>
          <w:sz w:val="24"/>
          <w:szCs w:val="24"/>
          <w:lang w:eastAsia="sv-SE"/>
        </w:rPr>
        <w:t>Results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: The sensor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indicated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time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for dressing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change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six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out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fifteen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observations.</w:t>
      </w:r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 xml:space="preserve">Variants A and B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did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not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differ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regarding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activation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or the timing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the</w:t>
      </w:r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spellStart"/>
      <w:r>
        <w:rPr>
          <w:rFonts w:ascii="Arial" w:hAnsi="Arial" w:cs="Arial"/>
          <w:sz w:val="24"/>
          <w:szCs w:val="24"/>
          <w:lang w:eastAsia="sv-SE"/>
        </w:rPr>
        <w:t>activation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>.</w:t>
      </w:r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spellStart"/>
      <w:r>
        <w:rPr>
          <w:rFonts w:ascii="Arial" w:hAnsi="Arial" w:cs="Arial"/>
          <w:sz w:val="24"/>
          <w:szCs w:val="24"/>
          <w:lang w:eastAsia="sv-SE"/>
        </w:rPr>
        <w:t>Conclusions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: The addition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moisture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sensor for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facilitating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management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exudative</w:t>
      </w:r>
      <w:proofErr w:type="spellEnd"/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eastAsia="sv-SE"/>
        </w:rPr>
        <w:t>wounds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is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promising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>.</w:t>
      </w:r>
      <w:proofErr w:type="gram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recommend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future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larger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studies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evaluating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the</w:t>
      </w:r>
    </w:p>
    <w:p w:rsidR="009D067D" w:rsidRDefault="009D067D" w:rsidP="009D067D">
      <w:pPr>
        <w:autoSpaceDE w:val="0"/>
        <w:autoSpaceDN w:val="0"/>
        <w:rPr>
          <w:rFonts w:ascii="Arial" w:hAnsi="Arial" w:cs="Arial"/>
          <w:sz w:val="24"/>
          <w:szCs w:val="24"/>
          <w:lang w:eastAsia="sv-SE"/>
        </w:rPr>
      </w:pPr>
      <w:proofErr w:type="gramStart"/>
      <w:r>
        <w:rPr>
          <w:rFonts w:ascii="Arial" w:hAnsi="Arial" w:cs="Arial"/>
          <w:sz w:val="24"/>
          <w:szCs w:val="24"/>
          <w:lang w:eastAsia="sv-SE"/>
        </w:rPr>
        <w:t xml:space="preserve">potential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clinical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benefits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and risks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the addition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moisture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sensor.</w:t>
      </w:r>
      <w:proofErr w:type="gram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also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recommend</w:t>
      </w:r>
      <w:proofErr w:type="spellEnd"/>
    </w:p>
    <w:p w:rsidR="009D067D" w:rsidRDefault="009D067D" w:rsidP="009D067D">
      <w:pPr>
        <w:rPr>
          <w:rFonts w:ascii="Arial" w:hAnsi="Arial" w:cs="Arial"/>
          <w:color w:val="1F497D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eastAsia="sv-SE"/>
        </w:rPr>
        <w:t>evaluation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potential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home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monitoring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of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wounds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by a </w:t>
      </w:r>
      <w:proofErr w:type="spellStart"/>
      <w:r>
        <w:rPr>
          <w:rFonts w:ascii="Arial" w:hAnsi="Arial" w:cs="Arial"/>
          <w:sz w:val="24"/>
          <w:szCs w:val="24"/>
          <w:lang w:eastAsia="sv-SE"/>
        </w:rPr>
        <w:t>moisture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sensor.</w:t>
      </w:r>
      <w:proofErr w:type="gramEnd"/>
    </w:p>
    <w:p w:rsidR="009D067D" w:rsidRDefault="009D067D" w:rsidP="009D067D">
      <w:pPr>
        <w:rPr>
          <w:rFonts w:ascii="Arial" w:hAnsi="Arial" w:cs="Arial"/>
          <w:color w:val="1F497D"/>
          <w:sz w:val="24"/>
          <w:szCs w:val="24"/>
        </w:rPr>
      </w:pPr>
    </w:p>
    <w:p w:rsidR="009D067D" w:rsidRDefault="009D067D" w:rsidP="009D067D">
      <w:pPr>
        <w:pStyle w:val="Rubrik1"/>
        <w:shd w:val="clear" w:color="auto" w:fill="FFFFFF"/>
        <w:spacing w:before="75" w:beforeAutospacing="0" w:after="135" w:afterAutospacing="0"/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1F497D"/>
          <w:sz w:val="24"/>
          <w:szCs w:val="24"/>
        </w:rPr>
        <w:t>Samt min avhandling ”</w:t>
      </w:r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>Assessment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>microvascular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 xml:space="preserve"> and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>metabolic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>responses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 xml:space="preserve"> in the skin”</w:t>
      </w:r>
    </w:p>
    <w:p w:rsidR="009D067D" w:rsidRDefault="009D067D" w:rsidP="009D067D">
      <w:pPr>
        <w:pStyle w:val="Rubrik1"/>
        <w:shd w:val="clear" w:color="auto" w:fill="FFFFFF"/>
        <w:spacing w:before="75" w:beforeAutospacing="0" w:after="135" w:afterAutospacing="0"/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</w:pPr>
      <w:r>
        <w:rPr>
          <w:rStyle w:val="type"/>
          <w:rFonts w:ascii="Arial" w:eastAsia="Times New Roman" w:hAnsi="Arial" w:cs="Arial"/>
          <w:b w:val="0"/>
          <w:bCs w:val="0"/>
          <w:caps/>
          <w:color w:val="777777"/>
          <w:sz w:val="24"/>
          <w:szCs w:val="24"/>
          <w:shd w:val="clear" w:color="auto" w:fill="FFFFFF"/>
        </w:rPr>
        <w:t>Abstract:</w:t>
      </w:r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 The general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aim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this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project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was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to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develop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experimental 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vivo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models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that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allow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for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minimally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invasive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investigations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responses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the skin to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microvascular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metabolic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provocations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.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cutaneous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microvasculature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has </w:t>
      </w:r>
      <w:proofErr w:type="spellStart"/>
      <w:proofErr w:type="gram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emerged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as a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valuable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model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been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proposed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to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mirror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microcirculation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other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organs.</w:t>
      </w:r>
      <w:proofErr w:type="gram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Dysfunction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cutaneous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microcirculation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has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thus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been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linked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to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systemic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diseases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such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as hypertension and diabetes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mellitus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Models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for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investigating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skin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responses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could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facilitate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understanding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pathophysiological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mechanisms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as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well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as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effects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drugs</w:t>
      </w:r>
      <w:proofErr w:type="gram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.In</w:t>
      </w:r>
      <w:proofErr w:type="spellEnd"/>
      <w:proofErr w:type="gram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first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study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three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optical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measurement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techniques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(laser Doppler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flowmetry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(LDF), laser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speckle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contrast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imaging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(LSCI) and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tissue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viability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imaging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TiVi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))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were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compared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against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each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other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showed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differences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their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ability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to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detect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microvascular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responses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to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provocations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the skin.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TiVi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was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found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more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sensitive for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measurement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noradrenaline-induced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vasoconstriction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while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LSCI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was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more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sensitive for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measurement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vascular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occlusion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. In the second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study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microvascular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responses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the skin to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iontophoresis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vasoactive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drugs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were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found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to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depend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on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drug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delivery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protocol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. Perfusion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half-life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was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defined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used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to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describe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decay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microvascular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response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to a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drug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after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iontophoresis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. In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third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study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,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role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nitric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oxide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(NO)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was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assessed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during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iontophoresis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insulin.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results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showed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 NO-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dependent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vasodilation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the skin by insulin. In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fourth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study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vasoactive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metabolic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effects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insulin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were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studied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after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both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local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endogenous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administration.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Local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delivery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insulin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increased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skin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blood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flow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paralleled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by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increased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skin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concentrations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interstitial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pyruvate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lactate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although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no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change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glucose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concentration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was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observed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. An oral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glucose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load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resulted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an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increased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insulin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lastRenderedPageBreak/>
        <w:t>concentration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the skin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paralleled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by an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increase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blood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flow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, as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measured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using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microdialysis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urea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clearance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technique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although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no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changes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perfusion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was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measured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by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LSCI</w:t>
      </w:r>
      <w:proofErr w:type="gram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.The</w:t>
      </w:r>
      <w:proofErr w:type="spellEnd"/>
      <w:proofErr w:type="gram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thesis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concludes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that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when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studying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skin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microvascular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responses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, the choice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measurement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technique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and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drug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delivery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protocol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has an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impact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on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measurement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results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, and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therefore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be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carefully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considered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.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thesis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also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concludes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that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insulin has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metabolic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vasodilatory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effects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 the skin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both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when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administered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locally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and as an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endogenous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response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to an oral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glucose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load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. The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vasodilatory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effect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insulin in the skin is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mediated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by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nitric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oxide</w:t>
      </w:r>
      <w:proofErr w:type="spellEnd"/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:rsidR="00BE6DCF" w:rsidRDefault="009D067D"/>
    <w:sectPr w:rsidR="00BE6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7D"/>
    <w:rsid w:val="008B1799"/>
    <w:rsid w:val="00953AF2"/>
    <w:rsid w:val="009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BADC"/>
  <w15:chartTrackingRefBased/>
  <w15:docId w15:val="{33E4363B-0592-49B4-98CA-21EEB69C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67D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link w:val="Rubrik1Char"/>
    <w:uiPriority w:val="9"/>
    <w:qFormat/>
    <w:rsid w:val="009D067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067D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type">
    <w:name w:val="type"/>
    <w:basedOn w:val="Standardstycketeckensnitt"/>
    <w:rsid w:val="009D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 Camilla</dc:creator>
  <cp:keywords/>
  <dc:description/>
  <cp:lastModifiedBy>Bark Camilla</cp:lastModifiedBy>
  <cp:revision>1</cp:revision>
  <dcterms:created xsi:type="dcterms:W3CDTF">2021-08-11T11:56:00Z</dcterms:created>
  <dcterms:modified xsi:type="dcterms:W3CDTF">2021-08-11T11:57:00Z</dcterms:modified>
</cp:coreProperties>
</file>