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9AAD" w14:textId="77777777" w:rsidR="00955B60" w:rsidRPr="00B36011" w:rsidRDefault="00955B60" w:rsidP="001374A1">
      <w:pPr>
        <w:rPr>
          <w:rStyle w:val="Stark"/>
          <w:rFonts w:ascii="Roboto" w:hAnsi="Roboto"/>
        </w:rPr>
      </w:pPr>
    </w:p>
    <w:p w14:paraId="7044FE07" w14:textId="333F0020" w:rsidR="00477077" w:rsidRPr="00B36011" w:rsidRDefault="00F572EB" w:rsidP="001374A1">
      <w:pPr>
        <w:rPr>
          <w:rStyle w:val="Stark"/>
          <w:rFonts w:ascii="Roboto" w:hAnsi="Roboto"/>
        </w:rPr>
      </w:pPr>
      <w:r>
        <w:rPr>
          <w:rStyle w:val="Stark"/>
          <w:rFonts w:ascii="Roboto" w:hAnsi="Roboto"/>
        </w:rPr>
        <w:t xml:space="preserve">Folinsyra 10 mg/ml – jämförelse med </w:t>
      </w:r>
      <w:r w:rsidR="007B04BC">
        <w:rPr>
          <w:rStyle w:val="Stark"/>
          <w:rFonts w:ascii="Roboto" w:hAnsi="Roboto"/>
        </w:rPr>
        <w:t>Bendafolin</w:t>
      </w:r>
    </w:p>
    <w:p w14:paraId="6F2D8C67" w14:textId="5C8EE070" w:rsidR="001374A1" w:rsidRPr="00B36011" w:rsidRDefault="00873DA3" w:rsidP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Licensalternativet </w:t>
      </w:r>
      <w:r w:rsidR="001914D2" w:rsidRPr="00B36011">
        <w:rPr>
          <w:rFonts w:ascii="Roboto" w:hAnsi="Roboto"/>
        </w:rPr>
        <w:t xml:space="preserve">nedan </w:t>
      </w:r>
      <w:r w:rsidRPr="00B36011">
        <w:rPr>
          <w:rFonts w:ascii="Roboto" w:hAnsi="Roboto"/>
        </w:rPr>
        <w:t xml:space="preserve">har bedömts som ett potentiellt alternativ till registrerad produkt. </w:t>
      </w:r>
      <w:r w:rsidR="001374A1" w:rsidRPr="00B36011">
        <w:rPr>
          <w:rFonts w:ascii="Roboto" w:hAnsi="Roboto"/>
        </w:rPr>
        <w:t xml:space="preserve">Respektive </w:t>
      </w:r>
      <w:r w:rsidR="000C0005" w:rsidRPr="00B36011">
        <w:rPr>
          <w:rFonts w:ascii="Roboto" w:hAnsi="Roboto"/>
        </w:rPr>
        <w:t>vårdenhet</w:t>
      </w:r>
      <w:r w:rsidR="001374A1" w:rsidRPr="00B36011">
        <w:rPr>
          <w:rFonts w:ascii="Roboto" w:hAnsi="Roboto"/>
        </w:rPr>
        <w:t xml:space="preserve"> ansvarar för att bedöma om licensläkemedlet kan utgöra ett lämpligt behandlingsalternativ till det registrerade läkemedlet för varje specifik situation. </w:t>
      </w:r>
    </w:p>
    <w:p w14:paraId="4558D5DC" w14:textId="77777777" w:rsidR="000F4824" w:rsidRPr="00B36011" w:rsidRDefault="000F4824" w:rsidP="001374A1">
      <w:pPr>
        <w:rPr>
          <w:rFonts w:ascii="Roboto" w:hAnsi="Roboto"/>
        </w:rPr>
      </w:pPr>
    </w:p>
    <w:p w14:paraId="41705151" w14:textId="77777777" w:rsidR="001374A1" w:rsidRPr="00B36011" w:rsidRDefault="001374A1" w:rsidP="001374A1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Jämförelse</w:t>
      </w:r>
      <w:bookmarkStart w:id="0" w:name="_GoBack"/>
      <w:bookmarkEnd w:id="0"/>
    </w:p>
    <w:p w14:paraId="0CEC5AAF" w14:textId="591916A2" w:rsidR="001374A1" w:rsidRPr="00B36011" w:rsidRDefault="001374A1" w:rsidP="001374A1">
      <w:pPr>
        <w:rPr>
          <w:rFonts w:ascii="Roboto" w:hAnsi="Roboto"/>
        </w:rPr>
      </w:pPr>
      <w:r w:rsidRPr="00B36011">
        <w:rPr>
          <w:rFonts w:ascii="Roboto" w:hAnsi="Roboto"/>
        </w:rPr>
        <w:t>Nedan följer en jämförelse mellan det registrerade läkemedlet och föreslaget</w:t>
      </w:r>
      <w:r w:rsidR="00C66D32" w:rsidRPr="00B36011">
        <w:rPr>
          <w:rFonts w:ascii="Roboto" w:hAnsi="Roboto"/>
          <w:b/>
        </w:rPr>
        <w:t xml:space="preserve"> </w:t>
      </w:r>
      <w:r w:rsidR="0012099F">
        <w:rPr>
          <w:rFonts w:ascii="Roboto" w:hAnsi="Roboto"/>
        </w:rPr>
        <w:t xml:space="preserve">licensläkemedel. </w:t>
      </w:r>
      <w:r w:rsidRPr="00B36011">
        <w:rPr>
          <w:rFonts w:ascii="Roboto" w:hAnsi="Roboto"/>
        </w:rPr>
        <w:t>Uppgifterna kommer från tillgängliga produktresumée</w:t>
      </w:r>
      <w:r w:rsidR="00C06360" w:rsidRPr="00B36011">
        <w:rPr>
          <w:rFonts w:ascii="Roboto" w:hAnsi="Roboto"/>
        </w:rPr>
        <w:t>r</w:t>
      </w:r>
      <w:r w:rsidRPr="00B36011">
        <w:rPr>
          <w:rFonts w:ascii="Roboto" w:hAnsi="Roboto"/>
        </w:rPr>
        <w:t>. Licensläkemedl</w:t>
      </w:r>
      <w:r w:rsidR="006F573A">
        <w:rPr>
          <w:rFonts w:ascii="Roboto" w:hAnsi="Roboto"/>
        </w:rPr>
        <w:t>ets produktresumé är skriven på tyska</w:t>
      </w:r>
      <w:r w:rsidRPr="00B36011">
        <w:rPr>
          <w:rFonts w:ascii="Roboto" w:hAnsi="Roboto"/>
          <w:b/>
        </w:rPr>
        <w:t xml:space="preserve"> </w:t>
      </w:r>
      <w:r w:rsidRPr="00B36011">
        <w:rPr>
          <w:rFonts w:ascii="Roboto" w:hAnsi="Roboto"/>
        </w:rPr>
        <w:t>och tillhandahålls i sin helhet på</w:t>
      </w:r>
      <w:r w:rsidR="00C94ECF" w:rsidRPr="00B36011">
        <w:rPr>
          <w:rFonts w:ascii="Roboto" w:hAnsi="Roboto"/>
        </w:rPr>
        <w:t xml:space="preserve"> </w:t>
      </w:r>
      <w:hyperlink r:id="rId7" w:history="1">
        <w:r w:rsidR="00C94ECF" w:rsidRPr="00B36011">
          <w:rPr>
            <w:rStyle w:val="Hyperlnk"/>
            <w:rFonts w:ascii="Roboto" w:hAnsi="Roboto"/>
          </w:rPr>
          <w:t>vå</w:t>
        </w:r>
        <w:r w:rsidR="000A54BD" w:rsidRPr="00B36011">
          <w:rPr>
            <w:rStyle w:val="Hyperlnk"/>
            <w:rFonts w:ascii="Roboto" w:hAnsi="Roboto"/>
          </w:rPr>
          <w:t>rdgivarwebbens sida om Regionövergripande licenser</w:t>
        </w:r>
      </w:hyperlink>
      <w:r w:rsidR="00695E92">
        <w:rPr>
          <w:rFonts w:ascii="Roboto" w:hAnsi="Roboto"/>
        </w:rPr>
        <w:t>.</w:t>
      </w:r>
      <w:r w:rsidR="00873DA3" w:rsidRPr="00B36011">
        <w:rPr>
          <w:rFonts w:ascii="Roboto" w:hAnsi="Roboto"/>
        </w:rPr>
        <w:t xml:space="preserve"> Registrerad produkts produktresumé hittas på </w:t>
      </w:r>
      <w:hyperlink r:id="rId8" w:history="1">
        <w:r w:rsidR="00873DA3" w:rsidRPr="00B36011">
          <w:rPr>
            <w:rStyle w:val="Hyperlnk"/>
            <w:rFonts w:ascii="Roboto" w:hAnsi="Roboto"/>
          </w:rPr>
          <w:t>fass.se</w:t>
        </w:r>
      </w:hyperlink>
      <w:r w:rsidR="00A45021" w:rsidRPr="00B36011">
        <w:rPr>
          <w:rFonts w:ascii="Roboto" w:hAnsi="Roboto"/>
        </w:rPr>
        <w:t xml:space="preserve">. </w:t>
      </w:r>
      <w:r w:rsidRPr="00B36011">
        <w:rPr>
          <w:rFonts w:ascii="Roboto" w:hAnsi="Roboto"/>
        </w:rPr>
        <w:t xml:space="preserve">Översättningsverktyget Google Translate har använts för att översätta och tolka delar av produktresuméns text i syfte att tydliggöra licensläkemedlets egenskaper enligt nedanstående tabell. </w:t>
      </w:r>
    </w:p>
    <w:p w14:paraId="61DB44C0" w14:textId="63DEE4BF" w:rsidR="00992449" w:rsidRPr="00B36011" w:rsidRDefault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Det är enbart delar av produktresumén som har bearbetats och nedanstående sammanfattning ska inte ses som en ersättning till licensläkemedlets fullständiga produktresumé på originalspråk. Sammanfattningen syftar istället till att </w:t>
      </w:r>
      <w:r w:rsidR="00FE7814">
        <w:rPr>
          <w:rFonts w:ascii="Roboto" w:hAnsi="Roboto"/>
        </w:rPr>
        <w:t>tillsammans med svensk SPC kunna användas för att beskriva licensläkemedlet.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3827"/>
      </w:tblGrid>
      <w:tr w:rsidR="00992449" w:rsidRPr="00B36011" w14:paraId="676360FA" w14:textId="77777777" w:rsidTr="00AC77F0">
        <w:trPr>
          <w:trHeight w:val="526"/>
        </w:trPr>
        <w:tc>
          <w:tcPr>
            <w:tcW w:w="2268" w:type="dxa"/>
            <w:shd w:val="clear" w:color="auto" w:fill="F2F2F2" w:themeFill="background1" w:themeFillShade="F2"/>
          </w:tcPr>
          <w:p w14:paraId="33E96F77" w14:textId="77777777" w:rsidR="00992449" w:rsidRPr="00B36011" w:rsidRDefault="00992449" w:rsidP="00AC77F0">
            <w:pPr>
              <w:rPr>
                <w:rFonts w:ascii="Roboto" w:hAnsi="Roboto"/>
                <w:i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D65E96C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>Registrerat läkemedel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9B888C2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 xml:space="preserve">Licensläkemedel </w:t>
            </w:r>
          </w:p>
        </w:tc>
      </w:tr>
      <w:tr w:rsidR="00992449" w:rsidRPr="00B36011" w14:paraId="2A26E930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A8C433D" w14:textId="2F71F1FD" w:rsidR="00992449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Produktnamn</w:t>
            </w:r>
          </w:p>
        </w:tc>
        <w:tc>
          <w:tcPr>
            <w:tcW w:w="3544" w:type="dxa"/>
          </w:tcPr>
          <w:p w14:paraId="21FC74FF" w14:textId="4F321665" w:rsidR="00992449" w:rsidRPr="00B36011" w:rsidRDefault="004F28BF" w:rsidP="00AC77F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Calciumfolinate Teva</w:t>
            </w:r>
          </w:p>
        </w:tc>
        <w:tc>
          <w:tcPr>
            <w:tcW w:w="3827" w:type="dxa"/>
          </w:tcPr>
          <w:p w14:paraId="6D211B72" w14:textId="76A05F6D" w:rsidR="00992449" w:rsidRPr="00B36011" w:rsidRDefault="007B04BC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Bendafolin</w:t>
            </w:r>
          </w:p>
        </w:tc>
      </w:tr>
      <w:tr w:rsidR="00FF6C45" w:rsidRPr="00B36011" w14:paraId="1AC55956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88A3555" w14:textId="20010B44" w:rsidR="00FF6C45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Innehavande av marknadsföringstillstånd (MAH) samt godkännandenummer</w:t>
            </w:r>
          </w:p>
        </w:tc>
        <w:tc>
          <w:tcPr>
            <w:tcW w:w="3544" w:type="dxa"/>
          </w:tcPr>
          <w:p w14:paraId="6427313B" w14:textId="4DC9173A" w:rsidR="004F28BF" w:rsidRDefault="004F28BF" w:rsidP="004F28BF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Teva Sweden AB</w:t>
            </w:r>
            <w:r>
              <w:rPr>
                <w:rFonts w:ascii="Roboto" w:hAnsi="Roboto"/>
                <w:sz w:val="18"/>
              </w:rPr>
              <w:t xml:space="preserve"> </w:t>
            </w:r>
          </w:p>
          <w:p w14:paraId="368CEC94" w14:textId="1D39A6BA" w:rsidR="004F28BF" w:rsidRPr="004F28BF" w:rsidRDefault="004F28BF" w:rsidP="004F28BF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Nr. </w:t>
            </w:r>
            <w:r w:rsidRPr="004F28BF">
              <w:rPr>
                <w:rFonts w:ascii="Roboto" w:hAnsi="Roboto"/>
                <w:sz w:val="18"/>
              </w:rPr>
              <w:t>19885</w:t>
            </w:r>
          </w:p>
          <w:p w14:paraId="292CC955" w14:textId="3E3269C8" w:rsidR="00871A8A" w:rsidRPr="00B36011" w:rsidRDefault="00871A8A" w:rsidP="00871A8A">
            <w:pPr>
              <w:rPr>
                <w:rFonts w:ascii="Roboto" w:hAnsi="Roboto"/>
                <w:sz w:val="18"/>
              </w:rPr>
            </w:pPr>
          </w:p>
        </w:tc>
        <w:tc>
          <w:tcPr>
            <w:tcW w:w="3827" w:type="dxa"/>
          </w:tcPr>
          <w:p w14:paraId="2FF9ABE9" w14:textId="77777777" w:rsidR="006F573A" w:rsidRDefault="008A6F69" w:rsidP="00AC77F0">
            <w:pPr>
              <w:rPr>
                <w:rFonts w:ascii="Roboto" w:hAnsi="Roboto"/>
                <w:sz w:val="18"/>
              </w:rPr>
            </w:pPr>
            <w:r w:rsidRPr="008A6F69">
              <w:rPr>
                <w:rFonts w:ascii="Roboto" w:hAnsi="Roboto"/>
                <w:sz w:val="18"/>
              </w:rPr>
              <w:t>Bendalis GmbH</w:t>
            </w:r>
            <w:r>
              <w:rPr>
                <w:rFonts w:ascii="Roboto" w:hAnsi="Roboto"/>
                <w:sz w:val="18"/>
              </w:rPr>
              <w:t xml:space="preserve"> </w:t>
            </w:r>
          </w:p>
          <w:p w14:paraId="36349859" w14:textId="1A1C0E65" w:rsidR="008A6F69" w:rsidRPr="00B36011" w:rsidRDefault="008A6F69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Nr. </w:t>
            </w:r>
            <w:r w:rsidRPr="008A6F69">
              <w:rPr>
                <w:rFonts w:ascii="Roboto" w:hAnsi="Roboto"/>
                <w:sz w:val="18"/>
              </w:rPr>
              <w:t>44048.05.00</w:t>
            </w:r>
          </w:p>
        </w:tc>
      </w:tr>
      <w:tr w:rsidR="00992449" w:rsidRPr="00B36011" w14:paraId="7723D732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1CCAB2F" w14:textId="77777777" w:rsidR="00992449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Beredningsform</w:t>
            </w:r>
          </w:p>
        </w:tc>
        <w:tc>
          <w:tcPr>
            <w:tcW w:w="3544" w:type="dxa"/>
          </w:tcPr>
          <w:p w14:paraId="13CFEE43" w14:textId="71C90F5B" w:rsidR="00992449" w:rsidRPr="00B36011" w:rsidRDefault="004F28BF" w:rsidP="00AC77F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injektionsvätska, lösning</w:t>
            </w:r>
          </w:p>
        </w:tc>
        <w:tc>
          <w:tcPr>
            <w:tcW w:w="3827" w:type="dxa"/>
          </w:tcPr>
          <w:p w14:paraId="2AF43F0E" w14:textId="2412279D" w:rsidR="00992449" w:rsidRPr="00B36011" w:rsidRDefault="00204EC8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injektionslösning</w:t>
            </w:r>
          </w:p>
        </w:tc>
      </w:tr>
      <w:tr w:rsidR="00992449" w:rsidRPr="00B36011" w14:paraId="1ABD075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5039492" w14:textId="77777777" w:rsidR="00992449" w:rsidRPr="00B36011" w:rsidRDefault="00992449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Styrka</w:t>
            </w:r>
          </w:p>
        </w:tc>
        <w:tc>
          <w:tcPr>
            <w:tcW w:w="3544" w:type="dxa"/>
          </w:tcPr>
          <w:p w14:paraId="6567852C" w14:textId="26C12A66" w:rsidR="00992449" w:rsidRPr="00B36011" w:rsidRDefault="004F28BF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10 mg/ml</w:t>
            </w:r>
            <w:r w:rsidR="00E024B0">
              <w:rPr>
                <w:rFonts w:ascii="Roboto" w:hAnsi="Roboto"/>
                <w:sz w:val="18"/>
              </w:rPr>
              <w:t xml:space="preserve"> (folinsyra)</w:t>
            </w:r>
          </w:p>
        </w:tc>
        <w:tc>
          <w:tcPr>
            <w:tcW w:w="3827" w:type="dxa"/>
          </w:tcPr>
          <w:p w14:paraId="4F6CC48C" w14:textId="2EDC2B9E" w:rsidR="00992449" w:rsidRPr="00B36011" w:rsidRDefault="00204EC8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10 mg/ml</w:t>
            </w:r>
            <w:r>
              <w:rPr>
                <w:rFonts w:ascii="Roboto" w:hAnsi="Roboto"/>
                <w:sz w:val="18"/>
              </w:rPr>
              <w:t xml:space="preserve"> (folinsyra)</w:t>
            </w:r>
          </w:p>
        </w:tc>
      </w:tr>
      <w:tr w:rsidR="007442E3" w:rsidRPr="00B36011" w14:paraId="43B9493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0CFCF06" w14:textId="77777777" w:rsidR="007442E3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Saltform av substans</w:t>
            </w:r>
          </w:p>
        </w:tc>
        <w:tc>
          <w:tcPr>
            <w:tcW w:w="3544" w:type="dxa"/>
          </w:tcPr>
          <w:p w14:paraId="1F461663" w14:textId="19DEA7DE" w:rsidR="007442E3" w:rsidRPr="00B36011" w:rsidRDefault="004F28BF" w:rsidP="00AC77F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kalciumfolinat</w:t>
            </w:r>
          </w:p>
        </w:tc>
        <w:tc>
          <w:tcPr>
            <w:tcW w:w="3827" w:type="dxa"/>
          </w:tcPr>
          <w:p w14:paraId="5ED59B72" w14:textId="7C6CE97A" w:rsidR="007442E3" w:rsidRPr="00B36011" w:rsidRDefault="007B04BC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kalciumfolinathydrat</w:t>
            </w:r>
          </w:p>
        </w:tc>
      </w:tr>
      <w:tr w:rsidR="000A711B" w:rsidRPr="00B36011" w14:paraId="28A0E7FB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ADDE709" w14:textId="10221750" w:rsidR="000A711B" w:rsidRPr="00B36011" w:rsidRDefault="000A711B" w:rsidP="00E024B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Osmolalitet</w:t>
            </w:r>
          </w:p>
        </w:tc>
        <w:tc>
          <w:tcPr>
            <w:tcW w:w="3544" w:type="dxa"/>
          </w:tcPr>
          <w:p w14:paraId="1DF50978" w14:textId="61C77929" w:rsidR="000A711B" w:rsidRPr="00B36011" w:rsidRDefault="004F28BF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  <w:tc>
          <w:tcPr>
            <w:tcW w:w="3827" w:type="dxa"/>
          </w:tcPr>
          <w:p w14:paraId="5C78FD79" w14:textId="30FD25B1" w:rsidR="00204EC8" w:rsidRPr="00B36011" w:rsidRDefault="00204EC8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</w:tr>
      <w:tr w:rsidR="000A711B" w:rsidRPr="00B36011" w14:paraId="60537B1C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F4AC652" w14:textId="39E81D6D" w:rsidR="000A711B" w:rsidRPr="00B36011" w:rsidRDefault="00E024B0" w:rsidP="000A711B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pH</w:t>
            </w:r>
            <w:r w:rsidR="000A711B" w:rsidRPr="00B36011">
              <w:rPr>
                <w:rFonts w:ascii="Roboto" w:hAnsi="Roboto"/>
                <w:b/>
                <w:i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72A745B3" w14:textId="3C7FFC20" w:rsidR="000A711B" w:rsidRPr="00B36011" w:rsidRDefault="004F28BF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  <w:tc>
          <w:tcPr>
            <w:tcW w:w="3827" w:type="dxa"/>
          </w:tcPr>
          <w:p w14:paraId="1629E56E" w14:textId="7A9BCA78" w:rsidR="000A711B" w:rsidRPr="00B36011" w:rsidRDefault="00204EC8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</w:tr>
      <w:tr w:rsidR="004F28BF" w:rsidRPr="00B36011" w14:paraId="0021AD0B" w14:textId="77777777" w:rsidTr="00D105F4">
        <w:tc>
          <w:tcPr>
            <w:tcW w:w="2268" w:type="dxa"/>
            <w:shd w:val="clear" w:color="auto" w:fill="F2F2F2" w:themeFill="background1" w:themeFillShade="F2"/>
          </w:tcPr>
          <w:p w14:paraId="593936C0" w14:textId="7D401BCE" w:rsidR="004F28BF" w:rsidRPr="00B36011" w:rsidRDefault="004F28BF" w:rsidP="004F28BF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Hjälpämnen</w:t>
            </w:r>
            <w:r>
              <w:rPr>
                <w:rFonts w:ascii="Roboto" w:hAnsi="Roboto"/>
                <w:b/>
                <w:i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3F79CF6D" w14:textId="0E2052AC" w:rsidR="004F28BF" w:rsidRPr="00B36011" w:rsidRDefault="004F28BF" w:rsidP="00AC77F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Natriumklorid, natriumhydroxid eller saltsyra</w:t>
            </w:r>
            <w:r>
              <w:rPr>
                <w:rFonts w:ascii="Roboto" w:hAnsi="Roboto"/>
                <w:sz w:val="18"/>
              </w:rPr>
              <w:t>, vatten för injektionsvätskor.</w:t>
            </w:r>
          </w:p>
        </w:tc>
        <w:tc>
          <w:tcPr>
            <w:tcW w:w="3827" w:type="dxa"/>
          </w:tcPr>
          <w:p w14:paraId="4284EA6A" w14:textId="6267941E" w:rsidR="004F28BF" w:rsidRPr="008A6F69" w:rsidRDefault="008A6F69" w:rsidP="006F573A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Trometamol</w:t>
            </w:r>
            <w:r>
              <w:rPr>
                <w:rFonts w:ascii="Roboto" w:hAnsi="Roboto"/>
                <w:sz w:val="18"/>
              </w:rPr>
              <w:t>, saltsyra 18%, vatten för injektion</w:t>
            </w:r>
          </w:p>
        </w:tc>
      </w:tr>
      <w:tr w:rsidR="00E024B0" w:rsidRPr="00B36011" w14:paraId="40AE6523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1E699505" w14:textId="056B17D4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Spädning</w:t>
            </w:r>
          </w:p>
        </w:tc>
        <w:tc>
          <w:tcPr>
            <w:tcW w:w="3544" w:type="dxa"/>
            <w:shd w:val="clear" w:color="auto" w:fill="auto"/>
          </w:tcPr>
          <w:p w14:paraId="5386B230" w14:textId="06934E1C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Kan spädas </w:t>
            </w:r>
            <w:r w:rsidRPr="004F28BF">
              <w:rPr>
                <w:rFonts w:ascii="Roboto" w:hAnsi="Roboto"/>
                <w:sz w:val="18"/>
              </w:rPr>
              <w:t>med 0,9 % natriumkloridlösning eller 5 % glukoslösning</w:t>
            </w:r>
            <w:r>
              <w:rPr>
                <w:rFonts w:ascii="Roboto" w:hAnsi="Roboto"/>
                <w:sz w:val="1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16EBF50" w14:textId="0195E6B0" w:rsidR="00E024B0" w:rsidRPr="00FA5FDD" w:rsidRDefault="00FA5FDD" w:rsidP="00E024B0">
            <w:pPr>
              <w:rPr>
                <w:rFonts w:ascii="Roboto" w:hAnsi="Roboto"/>
                <w:i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För infusion kan spädning ske med följande lösning: </w:t>
            </w:r>
            <w:r w:rsidRPr="00FA5FDD">
              <w:rPr>
                <w:rFonts w:ascii="Roboto" w:hAnsi="Roboto"/>
                <w:i/>
                <w:sz w:val="18"/>
              </w:rPr>
              <w:t xml:space="preserve">NaCl (0,9 %) </w:t>
            </w:r>
            <w:r w:rsidRPr="00FA5FDD">
              <w:rPr>
                <w:rFonts w:ascii="Roboto" w:hAnsi="Roboto"/>
                <w:i/>
                <w:sz w:val="18"/>
                <w:u w:val="single"/>
              </w:rPr>
              <w:t>och</w:t>
            </w:r>
            <w:r w:rsidRPr="00FA5FDD">
              <w:rPr>
                <w:rFonts w:ascii="Roboto" w:hAnsi="Roboto"/>
                <w:i/>
                <w:sz w:val="18"/>
              </w:rPr>
              <w:t xml:space="preserve"> glukos (5 %)</w:t>
            </w:r>
            <w:r>
              <w:rPr>
                <w:rFonts w:ascii="Roboto" w:hAnsi="Roboto"/>
                <w:sz w:val="18"/>
              </w:rPr>
              <w:t xml:space="preserve">, </w:t>
            </w:r>
            <w:r>
              <w:rPr>
                <w:rFonts w:ascii="Roboto" w:hAnsi="Roboto"/>
                <w:i/>
                <w:sz w:val="18"/>
              </w:rPr>
              <w:t xml:space="preserve">sterilt vatten för injektion, ringer-laktatlösning, glukos (10 %), NaCl (0,9 %) eller glukos (5 %). </w:t>
            </w:r>
          </w:p>
        </w:tc>
      </w:tr>
      <w:tr w:rsidR="00E024B0" w:rsidRPr="00B36011" w14:paraId="5141133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82D8283" w14:textId="7E853B9A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Känd inkompatibilitet</w:t>
            </w:r>
          </w:p>
        </w:tc>
        <w:tc>
          <w:tcPr>
            <w:tcW w:w="3544" w:type="dxa"/>
            <w:shd w:val="clear" w:color="auto" w:fill="auto"/>
          </w:tcPr>
          <w:p w14:paraId="34F4D5A6" w14:textId="0F9DA453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Inkompatibilitet har rapporterats för injektionsformen av kalciumfolinat och injektionsformerna av droperidol, fluorouracil, foskarnet och metotrexat.</w:t>
            </w:r>
          </w:p>
        </w:tc>
        <w:tc>
          <w:tcPr>
            <w:tcW w:w="3827" w:type="dxa"/>
            <w:shd w:val="clear" w:color="auto" w:fill="auto"/>
          </w:tcPr>
          <w:p w14:paraId="2FB51706" w14:textId="35F2E66D" w:rsidR="00E024B0" w:rsidRPr="00B36011" w:rsidRDefault="008A6F69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 xml:space="preserve">Inkompatibilitet har rapporterats för injektionsformen av kalciumfolinat och injektionsformerna av droperidol, </w:t>
            </w:r>
            <w:r>
              <w:rPr>
                <w:rFonts w:ascii="Roboto" w:hAnsi="Roboto"/>
                <w:sz w:val="18"/>
              </w:rPr>
              <w:t>5-</w:t>
            </w:r>
            <w:r w:rsidRPr="004F28BF">
              <w:rPr>
                <w:rFonts w:ascii="Roboto" w:hAnsi="Roboto"/>
                <w:sz w:val="18"/>
              </w:rPr>
              <w:t>fluorouracil, foskarnet och metotrexat.</w:t>
            </w:r>
          </w:p>
        </w:tc>
      </w:tr>
      <w:tr w:rsidR="00E024B0" w:rsidRPr="00B36011" w14:paraId="58A0A228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D6AB9F7" w14:textId="77777777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Särskilda hanteringsangivelser</w:t>
            </w:r>
          </w:p>
        </w:tc>
        <w:tc>
          <w:tcPr>
            <w:tcW w:w="3544" w:type="dxa"/>
            <w:shd w:val="clear" w:color="auto" w:fill="auto"/>
          </w:tcPr>
          <w:p w14:paraId="2E932764" w14:textId="47ABCA9B" w:rsidR="00E024B0" w:rsidRPr="004F28BF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Förvaras i kylskåp (2</w:t>
            </w:r>
            <w:r w:rsidRPr="004F28BF">
              <w:rPr>
                <w:rFonts w:ascii="Roboto" w:hAnsi="Roboto"/>
                <w:sz w:val="18"/>
              </w:rPr>
              <w:t>-8 °C). Förvaras i originalförpackningen. Ljuskänsligt.</w:t>
            </w:r>
            <w:r>
              <w:rPr>
                <w:rFonts w:ascii="Roboto" w:hAnsi="Roboto"/>
                <w:sz w:val="18"/>
              </w:rPr>
              <w:t xml:space="preserve"> Kan ha en gulaktig färg.</w:t>
            </w:r>
          </w:p>
          <w:p w14:paraId="5FDC133F" w14:textId="77777777" w:rsidR="00E024B0" w:rsidRDefault="00E024B0" w:rsidP="00E024B0">
            <w:pPr>
              <w:rPr>
                <w:rFonts w:ascii="Roboto" w:hAnsi="Roboto"/>
                <w:sz w:val="18"/>
              </w:rPr>
            </w:pPr>
          </w:p>
          <w:p w14:paraId="162A5EAF" w14:textId="5E5AE3A5" w:rsidR="00E024B0" w:rsidRPr="004F28BF" w:rsidRDefault="00E024B0" w:rsidP="00E024B0">
            <w:pPr>
              <w:rPr>
                <w:rFonts w:ascii="Roboto" w:hAnsi="Roboto"/>
                <w:sz w:val="18"/>
                <w:u w:val="single"/>
              </w:rPr>
            </w:pPr>
            <w:r w:rsidRPr="004F28BF">
              <w:rPr>
                <w:rFonts w:ascii="Roboto" w:hAnsi="Roboto"/>
                <w:sz w:val="18"/>
                <w:u w:val="single"/>
              </w:rPr>
              <w:t>Hållbarhet efter spädning:</w:t>
            </w:r>
          </w:p>
          <w:p w14:paraId="026D3929" w14:textId="54F0A663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Ur mikrobiologisk synvinkel bör produkten användas omedelbart. Om så inte sker är det användaren som ansvarar för förvaringsti</w:t>
            </w:r>
            <w:r w:rsidR="008A6F69">
              <w:rPr>
                <w:rFonts w:ascii="Roboto" w:hAnsi="Roboto"/>
                <w:sz w:val="18"/>
              </w:rPr>
              <w:t>d och förvaringsbetingelser för</w:t>
            </w:r>
            <w:r w:rsidRPr="004F28BF">
              <w:rPr>
                <w:rFonts w:ascii="Roboto" w:hAnsi="Roboto"/>
                <w:sz w:val="18"/>
              </w:rPr>
              <w:t xml:space="preserve"> användandet, vilket normalt inte överskrider 24 timmar </w:t>
            </w:r>
            <w:r w:rsidRPr="004F28BF">
              <w:rPr>
                <w:rFonts w:ascii="Roboto" w:hAnsi="Roboto"/>
                <w:sz w:val="18"/>
              </w:rPr>
              <w:lastRenderedPageBreak/>
              <w:t>vid 2-8 °C, såvida inte beredningen skett under kontrollerade och validerade aseptiska förhållanden.</w:t>
            </w:r>
            <w:r>
              <w:rPr>
                <w:rFonts w:ascii="Roboto" w:hAnsi="Roboto"/>
                <w:sz w:val="18"/>
              </w:rPr>
              <w:t xml:space="preserve"> </w:t>
            </w:r>
            <w:r w:rsidRPr="004F28BF">
              <w:rPr>
                <w:rFonts w:ascii="Roboto" w:hAnsi="Roboto"/>
                <w:sz w:val="18"/>
              </w:rPr>
              <w:t xml:space="preserve">Kemisk och fysikalisk hållbarhet i 72 timmar vid rumstemperatur (vid högst 25 °C) </w:t>
            </w:r>
            <w:r>
              <w:rPr>
                <w:rFonts w:ascii="Roboto" w:hAnsi="Roboto"/>
                <w:sz w:val="18"/>
              </w:rPr>
              <w:t>har visats för utspädd lösning.</w:t>
            </w:r>
          </w:p>
        </w:tc>
        <w:tc>
          <w:tcPr>
            <w:tcW w:w="3827" w:type="dxa"/>
            <w:shd w:val="clear" w:color="auto" w:fill="auto"/>
          </w:tcPr>
          <w:p w14:paraId="1613F541" w14:textId="7DCEE6D7" w:rsidR="008A6F69" w:rsidRDefault="008A6F69" w:rsidP="008A6F6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lastRenderedPageBreak/>
              <w:t>Förvaras i kylskåp (2</w:t>
            </w:r>
            <w:r w:rsidRPr="004F28BF">
              <w:rPr>
                <w:rFonts w:ascii="Roboto" w:hAnsi="Roboto"/>
                <w:sz w:val="18"/>
              </w:rPr>
              <w:t>-8 °C). Förvaras i originalförpackningen. Ljuskänsligt.</w:t>
            </w:r>
          </w:p>
          <w:p w14:paraId="057AB9F3" w14:textId="77777777" w:rsidR="008A6F69" w:rsidRDefault="008A6F69" w:rsidP="008A6F69">
            <w:pPr>
              <w:rPr>
                <w:rFonts w:ascii="Roboto" w:hAnsi="Roboto"/>
                <w:sz w:val="18"/>
                <w:u w:val="single"/>
              </w:rPr>
            </w:pPr>
          </w:p>
          <w:p w14:paraId="27919F9A" w14:textId="77777777" w:rsidR="008A6F69" w:rsidRDefault="008A6F69" w:rsidP="008A6F69">
            <w:pPr>
              <w:rPr>
                <w:rFonts w:ascii="Roboto" w:hAnsi="Roboto"/>
                <w:sz w:val="18"/>
                <w:u w:val="single"/>
              </w:rPr>
            </w:pPr>
          </w:p>
          <w:p w14:paraId="64B2077F" w14:textId="16B48CFE" w:rsidR="008A6F69" w:rsidRPr="004F28BF" w:rsidRDefault="008A6F69" w:rsidP="008A6F69">
            <w:pPr>
              <w:rPr>
                <w:rFonts w:ascii="Roboto" w:hAnsi="Roboto"/>
                <w:sz w:val="18"/>
                <w:u w:val="single"/>
              </w:rPr>
            </w:pPr>
            <w:r w:rsidRPr="004F28BF">
              <w:rPr>
                <w:rFonts w:ascii="Roboto" w:hAnsi="Roboto"/>
                <w:sz w:val="18"/>
                <w:u w:val="single"/>
              </w:rPr>
              <w:t>Hållbarhet efter spädning:</w:t>
            </w:r>
          </w:p>
          <w:p w14:paraId="7F1D2BC3" w14:textId="77777777" w:rsidR="00E024B0" w:rsidRDefault="008A6F69" w:rsidP="008A6F69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Ur mikrobiologisk synvinkel bör produkten användas omedelbart.</w:t>
            </w:r>
          </w:p>
          <w:p w14:paraId="2802A105" w14:textId="77777777" w:rsidR="008A6F69" w:rsidRDefault="008A6F69" w:rsidP="008A6F69">
            <w:pPr>
              <w:rPr>
                <w:rFonts w:ascii="Roboto" w:hAnsi="Roboto"/>
                <w:sz w:val="18"/>
              </w:rPr>
            </w:pPr>
          </w:p>
          <w:p w14:paraId="238D6C70" w14:textId="33587B2C" w:rsidR="008A6F69" w:rsidRDefault="008A6F69" w:rsidP="008A6F69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Hållbarhet efter spädning (i rumstemperatur) med följande lösningar: </w:t>
            </w:r>
          </w:p>
          <w:p w14:paraId="4E0E9D96" w14:textId="77777777" w:rsidR="008A6F69" w:rsidRDefault="008A6F69" w:rsidP="008A6F69">
            <w:pPr>
              <w:pStyle w:val="Liststycke"/>
              <w:numPr>
                <w:ilvl w:val="0"/>
                <w:numId w:val="6"/>
              </w:num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Vatten för injektionsvätskor – 24 h</w:t>
            </w:r>
          </w:p>
          <w:p w14:paraId="16C8C66D" w14:textId="77777777" w:rsidR="008A6F69" w:rsidRDefault="008A6F69" w:rsidP="008A6F69">
            <w:pPr>
              <w:pStyle w:val="Liststycke"/>
              <w:numPr>
                <w:ilvl w:val="0"/>
                <w:numId w:val="6"/>
              </w:num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lastRenderedPageBreak/>
              <w:t>Glukoslösning (10 %) – 8 h</w:t>
            </w:r>
          </w:p>
          <w:p w14:paraId="57872EC6" w14:textId="781A3E77" w:rsidR="008A6F69" w:rsidRDefault="008A6F69" w:rsidP="008A6F69">
            <w:pPr>
              <w:pStyle w:val="Liststycke"/>
              <w:numPr>
                <w:ilvl w:val="0"/>
                <w:numId w:val="6"/>
              </w:num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NaCl 0,9 % och glukos 5 % - 8 h </w:t>
            </w:r>
          </w:p>
          <w:p w14:paraId="00E15A55" w14:textId="77777777" w:rsidR="008A6F69" w:rsidRDefault="008A6F69" w:rsidP="008A6F69">
            <w:pPr>
              <w:pStyle w:val="Liststycke"/>
              <w:numPr>
                <w:ilvl w:val="0"/>
                <w:numId w:val="6"/>
              </w:num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NaCl 0,9 % - 24 h</w:t>
            </w:r>
          </w:p>
          <w:p w14:paraId="51570127" w14:textId="77777777" w:rsidR="008A6F69" w:rsidRDefault="008A6F69" w:rsidP="008A6F69">
            <w:pPr>
              <w:pStyle w:val="Liststycke"/>
              <w:numPr>
                <w:ilvl w:val="0"/>
                <w:numId w:val="6"/>
              </w:num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Ringer-laktat – 24 h</w:t>
            </w:r>
          </w:p>
          <w:p w14:paraId="2B211C2D" w14:textId="77777777" w:rsidR="008A6F69" w:rsidRDefault="008A6F69" w:rsidP="008A6F69">
            <w:pPr>
              <w:pStyle w:val="Liststycke"/>
              <w:numPr>
                <w:ilvl w:val="0"/>
                <w:numId w:val="6"/>
              </w:num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Glukos 5 % - 24 h</w:t>
            </w:r>
          </w:p>
          <w:p w14:paraId="30DC05AF" w14:textId="77777777" w:rsidR="008A6F69" w:rsidRDefault="008A6F69" w:rsidP="008A6F69">
            <w:pPr>
              <w:rPr>
                <w:rFonts w:ascii="Roboto" w:hAnsi="Roboto"/>
                <w:sz w:val="18"/>
              </w:rPr>
            </w:pPr>
          </w:p>
          <w:p w14:paraId="28B591A1" w14:textId="3F1C0441" w:rsidR="008A6F69" w:rsidRPr="008A6F69" w:rsidRDefault="008A6F69" w:rsidP="008A6F69">
            <w:pPr>
              <w:rPr>
                <w:rFonts w:ascii="Roboto" w:hAnsi="Roboto"/>
                <w:sz w:val="18"/>
              </w:rPr>
            </w:pPr>
          </w:p>
        </w:tc>
      </w:tr>
      <w:tr w:rsidR="00E024B0" w:rsidRPr="00B36011" w14:paraId="5ADD3DE9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5F06283" w14:textId="1C7FFEF5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lastRenderedPageBreak/>
              <w:t>Övrigt</w:t>
            </w:r>
          </w:p>
        </w:tc>
        <w:tc>
          <w:tcPr>
            <w:tcW w:w="3544" w:type="dxa"/>
            <w:shd w:val="clear" w:color="auto" w:fill="auto"/>
          </w:tcPr>
          <w:p w14:paraId="11FFF4C3" w14:textId="29A694C1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SPC senast uppdaterad: 2020-10-12</w:t>
            </w:r>
          </w:p>
        </w:tc>
        <w:tc>
          <w:tcPr>
            <w:tcW w:w="3827" w:type="dxa"/>
            <w:shd w:val="clear" w:color="auto" w:fill="auto"/>
          </w:tcPr>
          <w:p w14:paraId="0DC558F0" w14:textId="13C3DEE3" w:rsidR="00E024B0" w:rsidRDefault="007B04BC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SPC daterad </w:t>
            </w:r>
            <w:r w:rsidR="008A6F69">
              <w:rPr>
                <w:rFonts w:ascii="Roboto" w:hAnsi="Roboto"/>
                <w:sz w:val="18"/>
              </w:rPr>
              <w:t>2022-12</w:t>
            </w:r>
          </w:p>
          <w:p w14:paraId="3585CB89" w14:textId="326E0831" w:rsidR="007B04BC" w:rsidRDefault="007B04BC" w:rsidP="00E024B0">
            <w:pPr>
              <w:rPr>
                <w:rFonts w:ascii="Roboto" w:hAnsi="Roboto"/>
                <w:sz w:val="18"/>
              </w:rPr>
            </w:pPr>
          </w:p>
          <w:p w14:paraId="423D0602" w14:textId="06A96479" w:rsidR="001D6467" w:rsidRPr="00B36011" w:rsidRDefault="00FA5FDD" w:rsidP="001D6467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Får</w:t>
            </w:r>
            <w:r w:rsidRPr="00F009C1">
              <w:rPr>
                <w:rFonts w:ascii="Roboto" w:hAnsi="Roboto"/>
                <w:sz w:val="18"/>
              </w:rPr>
              <w:t xml:space="preserve"> endast </w:t>
            </w:r>
            <w:r>
              <w:rPr>
                <w:rFonts w:ascii="Roboto" w:hAnsi="Roboto"/>
                <w:sz w:val="18"/>
              </w:rPr>
              <w:t>administreras</w:t>
            </w:r>
            <w:r w:rsidRPr="00F009C1">
              <w:rPr>
                <w:rFonts w:ascii="Roboto" w:hAnsi="Roboto"/>
                <w:sz w:val="18"/>
              </w:rPr>
              <w:t xml:space="preserve"> intravenöst eller intramuskulärt</w:t>
            </w:r>
            <w:r>
              <w:rPr>
                <w:rFonts w:ascii="Roboto" w:hAnsi="Roboto"/>
                <w:sz w:val="18"/>
              </w:rPr>
              <w:t xml:space="preserve">. </w:t>
            </w:r>
            <w:r w:rsidRPr="00F009C1">
              <w:rPr>
                <w:rFonts w:ascii="Roboto" w:hAnsi="Roboto"/>
                <w:sz w:val="18"/>
              </w:rPr>
              <w:t>På grund av lösningens kalciumhalt bör inte mer än 160 mg per minut injiceras</w:t>
            </w:r>
            <w:r>
              <w:rPr>
                <w:rFonts w:ascii="Roboto" w:hAnsi="Roboto"/>
                <w:sz w:val="18"/>
              </w:rPr>
              <w:t xml:space="preserve"> intravenöst.</w:t>
            </w:r>
            <w:r w:rsidR="001D6467" w:rsidRPr="00B36011">
              <w:rPr>
                <w:rFonts w:ascii="Roboto" w:hAnsi="Roboto"/>
                <w:sz w:val="18"/>
              </w:rPr>
              <w:t xml:space="preserve"> </w:t>
            </w:r>
          </w:p>
          <w:p w14:paraId="235DA705" w14:textId="34E7D15C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</w:p>
        </w:tc>
      </w:tr>
    </w:tbl>
    <w:p w14:paraId="0D83D4CB" w14:textId="2A21E0E8" w:rsidR="00FF3145" w:rsidRPr="00B36011" w:rsidRDefault="00FF3145" w:rsidP="00FF3145">
      <w:pPr>
        <w:rPr>
          <w:rFonts w:ascii="Roboto" w:hAnsi="Roboto"/>
          <w:b/>
        </w:rPr>
      </w:pPr>
    </w:p>
    <w:p w14:paraId="316FE104" w14:textId="20E7D34E" w:rsidR="00FF6C45" w:rsidRPr="00B36011" w:rsidRDefault="00FF6C45" w:rsidP="00FF6C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Kommentarer till tabell</w:t>
      </w:r>
      <w:r w:rsidR="00A45021" w:rsidRPr="00B36011">
        <w:rPr>
          <w:rFonts w:ascii="Roboto" w:hAnsi="Roboto"/>
          <w:b/>
        </w:rPr>
        <w:t>en ovan</w:t>
      </w:r>
    </w:p>
    <w:p w14:paraId="391BBDDA" w14:textId="2B803101" w:rsidR="00225F84" w:rsidRPr="00225F84" w:rsidRDefault="00225F84" w:rsidP="00FF3145">
      <w:pPr>
        <w:rPr>
          <w:rFonts w:ascii="Roboto" w:hAnsi="Roboto"/>
        </w:rPr>
      </w:pPr>
      <w:r>
        <w:rPr>
          <w:rFonts w:ascii="Roboto" w:hAnsi="Roboto"/>
        </w:rPr>
        <w:t xml:space="preserve">Licensläkemedlet </w:t>
      </w:r>
      <w:r w:rsidR="00494B67">
        <w:rPr>
          <w:rFonts w:ascii="Roboto" w:hAnsi="Roboto"/>
        </w:rPr>
        <w:t>h</w:t>
      </w:r>
      <w:r w:rsidR="004653BF">
        <w:rPr>
          <w:rFonts w:ascii="Roboto" w:hAnsi="Roboto"/>
        </w:rPr>
        <w:t>ar trometam</w:t>
      </w:r>
      <w:r w:rsidR="00494B67">
        <w:rPr>
          <w:rFonts w:ascii="Roboto" w:hAnsi="Roboto"/>
        </w:rPr>
        <w:t>ol som hjälpämne</w:t>
      </w:r>
      <w:r w:rsidR="00845838">
        <w:rPr>
          <w:rFonts w:ascii="Roboto" w:hAnsi="Roboto"/>
        </w:rPr>
        <w:t xml:space="preserve"> (buffert)</w:t>
      </w:r>
      <w:r w:rsidR="004653BF">
        <w:rPr>
          <w:rFonts w:ascii="Roboto" w:hAnsi="Roboto"/>
        </w:rPr>
        <w:t xml:space="preserve"> vilket saknas</w:t>
      </w:r>
      <w:r w:rsidR="00494B67">
        <w:rPr>
          <w:rFonts w:ascii="Roboto" w:hAnsi="Roboto"/>
        </w:rPr>
        <w:t xml:space="preserve"> i det registrerade läkemedlet</w:t>
      </w:r>
      <w:r>
        <w:rPr>
          <w:rFonts w:ascii="Roboto" w:hAnsi="Roboto"/>
        </w:rPr>
        <w:t xml:space="preserve">. </w:t>
      </w:r>
    </w:p>
    <w:p w14:paraId="12356EF8" w14:textId="77777777" w:rsidR="00225F84" w:rsidRDefault="00225F84" w:rsidP="00FF3145">
      <w:pPr>
        <w:rPr>
          <w:rFonts w:ascii="Roboto" w:hAnsi="Roboto"/>
          <w:b/>
        </w:rPr>
      </w:pPr>
    </w:p>
    <w:p w14:paraId="69DC112A" w14:textId="0F5B3563" w:rsidR="007314A3" w:rsidRPr="00B36011" w:rsidRDefault="007314A3" w:rsidP="00FF31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Kontakt</w:t>
      </w:r>
    </w:p>
    <w:p w14:paraId="79B386D9" w14:textId="6D8EB54A" w:rsidR="00AD7BA6" w:rsidRPr="00B36011" w:rsidRDefault="00B56408" w:rsidP="00B56408">
      <w:pPr>
        <w:rPr>
          <w:rFonts w:ascii="Roboto" w:hAnsi="Roboto"/>
        </w:rPr>
      </w:pPr>
      <w:r w:rsidRPr="00546505">
        <w:rPr>
          <w:rFonts w:ascii="Roboto" w:hAnsi="Roboto"/>
        </w:rPr>
        <w:t>Vid frågor, kontakta</w:t>
      </w:r>
      <w:r>
        <w:rPr>
          <w:rFonts w:ascii="Roboto" w:hAnsi="Roboto"/>
        </w:rPr>
        <w:t xml:space="preserve"> Läkemedelsinformationscentralen genom</w:t>
      </w:r>
      <w:r w:rsidRPr="00546505">
        <w:rPr>
          <w:rFonts w:ascii="Roboto" w:hAnsi="Roboto"/>
        </w:rPr>
        <w:t xml:space="preserve"> </w:t>
      </w:r>
      <w:hyperlink r:id="rId9" w:history="1">
        <w:r w:rsidRPr="00F0446F">
          <w:rPr>
            <w:rStyle w:val="Hyperlnk"/>
            <w:rFonts w:ascii="Roboto" w:hAnsi="Roboto"/>
          </w:rPr>
          <w:t>LiLi@regionostergotland.se</w:t>
        </w:r>
      </w:hyperlink>
      <w:r>
        <w:rPr>
          <w:rFonts w:ascii="Roboto" w:hAnsi="Roboto"/>
        </w:rPr>
        <w:t>.</w:t>
      </w:r>
      <w:r w:rsidRPr="00546505">
        <w:rPr>
          <w:rFonts w:ascii="Roboto" w:hAnsi="Roboto"/>
        </w:rPr>
        <w:t xml:space="preserve"> </w:t>
      </w:r>
    </w:p>
    <w:sectPr w:rsidR="00AD7BA6" w:rsidRPr="00B360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A135" w14:textId="77777777" w:rsidR="00F5485F" w:rsidRDefault="00F5485F" w:rsidP="00067631">
      <w:pPr>
        <w:spacing w:after="0" w:line="240" w:lineRule="auto"/>
      </w:pPr>
      <w:r>
        <w:separator/>
      </w:r>
    </w:p>
  </w:endnote>
  <w:endnote w:type="continuationSeparator" w:id="0">
    <w:p w14:paraId="789E7C8C" w14:textId="77777777" w:rsidR="00F5485F" w:rsidRDefault="00F5485F" w:rsidP="0006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ED1F" w14:textId="019CDE3C" w:rsidR="00022B57" w:rsidRPr="00B36011" w:rsidRDefault="004F28BF" w:rsidP="0056019E">
    <w:pPr>
      <w:pStyle w:val="Sidfot"/>
      <w:pBdr>
        <w:top w:val="single" w:sz="4" w:space="1" w:color="A6A6A6" w:themeColor="background1" w:themeShade="A6"/>
      </w:pBdr>
      <w:rPr>
        <w:rFonts w:ascii="Roboto" w:hAnsi="Roboto"/>
      </w:rPr>
    </w:pPr>
    <w:r>
      <w:rPr>
        <w:rFonts w:ascii="Roboto" w:hAnsi="Roboto"/>
      </w:rPr>
      <w:t>Licensjämförelse utförd 2025-01-28</w:t>
    </w:r>
    <w:r w:rsidR="00F312FD" w:rsidRPr="00B36011">
      <w:rPr>
        <w:rFonts w:ascii="Roboto" w:hAnsi="Roboto"/>
      </w:rPr>
      <w:t xml:space="preserve"> av</w:t>
    </w:r>
    <w:r w:rsidR="00F312FD" w:rsidRPr="00B36011">
      <w:rPr>
        <w:rFonts w:ascii="Roboto" w:hAnsi="Roboto"/>
      </w:rPr>
      <w:ptab w:relativeTo="margin" w:alignment="right" w:leader="none"/>
    </w:r>
    <w:r w:rsidR="00F312FD" w:rsidRPr="00B36011">
      <w:rPr>
        <w:rFonts w:ascii="Roboto" w:hAnsi="Roboto"/>
      </w:rPr>
      <w:t>Kontrasignerad av</w:t>
    </w:r>
  </w:p>
  <w:p w14:paraId="4922CAE5" w14:textId="3BC7C40A" w:rsidR="00F312FD" w:rsidRPr="00B36011" w:rsidRDefault="004F28BF" w:rsidP="00873DA3">
    <w:pPr>
      <w:pStyle w:val="Sidfot"/>
      <w:rPr>
        <w:rFonts w:ascii="Roboto" w:hAnsi="Roboto"/>
      </w:rPr>
    </w:pPr>
    <w:r>
      <w:rPr>
        <w:rFonts w:ascii="Roboto" w:hAnsi="Roboto"/>
      </w:rPr>
      <w:t>Johanna Lind Zickerman</w:t>
    </w:r>
    <w:r w:rsidR="00F312FD" w:rsidRPr="00B36011">
      <w:rPr>
        <w:rFonts w:ascii="Roboto" w:hAnsi="Roboto"/>
      </w:rPr>
      <w:t>, apotekare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</w:r>
    <w:r w:rsidR="001D6467">
      <w:rPr>
        <w:rFonts w:ascii="Roboto" w:hAnsi="Roboto"/>
      </w:rPr>
      <w:t>Henrik Lövborg</w:t>
    </w:r>
    <w:r w:rsidR="00F312FD" w:rsidRPr="00B36011">
      <w:rPr>
        <w:rFonts w:ascii="Roboto" w:hAnsi="Roboto"/>
      </w:rPr>
      <w:t>, apotekare</w:t>
    </w:r>
  </w:p>
  <w:p w14:paraId="4BE88221" w14:textId="0900F0F9" w:rsidR="00F312FD" w:rsidRPr="00B36011" w:rsidRDefault="00886474" w:rsidP="00873DA3">
    <w:pPr>
      <w:pStyle w:val="Sidfot"/>
      <w:rPr>
        <w:rFonts w:ascii="Roboto" w:hAnsi="Roboto"/>
      </w:rPr>
    </w:pPr>
    <w:r>
      <w:rPr>
        <w:rFonts w:ascii="Roboto" w:hAnsi="Roboto"/>
      </w:rPr>
      <w:t>Läkemedelsinformationscentralen</w:t>
    </w:r>
    <w:r>
      <w:rPr>
        <w:rFonts w:ascii="Roboto" w:hAnsi="Roboto"/>
      </w:rPr>
      <w:tab/>
    </w:r>
    <w:r>
      <w:rPr>
        <w:rFonts w:ascii="Roboto" w:hAnsi="Roboto"/>
      </w:rPr>
      <w:tab/>
      <w:t>Läkemedelsinformationscentralen</w:t>
    </w:r>
    <w:r>
      <w:rPr>
        <w:rFonts w:ascii="Roboto" w:hAnsi="Roboto"/>
      </w:rPr>
      <w:br/>
    </w:r>
    <w:r w:rsidR="00F312FD" w:rsidRPr="00B36011">
      <w:rPr>
        <w:rFonts w:ascii="Roboto" w:hAnsi="Roboto"/>
      </w:rPr>
      <w:t>Klinisk farmakologi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  <w:t>Klinisk farmakologi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8306" w14:textId="77777777" w:rsidR="00F5485F" w:rsidRDefault="00F5485F" w:rsidP="00067631">
      <w:pPr>
        <w:spacing w:after="0" w:line="240" w:lineRule="auto"/>
      </w:pPr>
      <w:r>
        <w:separator/>
      </w:r>
    </w:p>
  </w:footnote>
  <w:footnote w:type="continuationSeparator" w:id="0">
    <w:p w14:paraId="5D227A32" w14:textId="77777777" w:rsidR="00F5485F" w:rsidRDefault="00F5485F" w:rsidP="0006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1B3C" w14:textId="28569015" w:rsidR="00955B60" w:rsidRDefault="00955B60">
    <w:pPr>
      <w:pStyle w:val="Sidhuvud"/>
    </w:pPr>
    <w:r>
      <w:rPr>
        <w:noProof/>
        <w:lang w:eastAsia="sv-SE"/>
      </w:rPr>
      <w:drawing>
        <wp:inline distT="0" distB="0" distL="0" distR="0" wp14:anchorId="1BE2328C" wp14:editId="4FB9F22F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0A1"/>
    <w:multiLevelType w:val="hybridMultilevel"/>
    <w:tmpl w:val="27F2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B16"/>
    <w:multiLevelType w:val="hybridMultilevel"/>
    <w:tmpl w:val="0EB4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8BA"/>
    <w:multiLevelType w:val="hybridMultilevel"/>
    <w:tmpl w:val="A1E2F8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084"/>
    <w:multiLevelType w:val="hybridMultilevel"/>
    <w:tmpl w:val="78DE45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40D8C"/>
    <w:multiLevelType w:val="hybridMultilevel"/>
    <w:tmpl w:val="CE922B0E"/>
    <w:lvl w:ilvl="0" w:tplc="7C9AB13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F54AC"/>
    <w:multiLevelType w:val="hybridMultilevel"/>
    <w:tmpl w:val="0FA48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C8"/>
    <w:rsid w:val="00003B8A"/>
    <w:rsid w:val="00022B57"/>
    <w:rsid w:val="00067631"/>
    <w:rsid w:val="000A54BD"/>
    <w:rsid w:val="000A711B"/>
    <w:rsid w:val="000C0005"/>
    <w:rsid w:val="000C3DB4"/>
    <w:rsid w:val="000F4824"/>
    <w:rsid w:val="0012099F"/>
    <w:rsid w:val="001374A1"/>
    <w:rsid w:val="001914D2"/>
    <w:rsid w:val="001D6467"/>
    <w:rsid w:val="001F60DC"/>
    <w:rsid w:val="00204EC8"/>
    <w:rsid w:val="00225F84"/>
    <w:rsid w:val="002C6F1D"/>
    <w:rsid w:val="003E3813"/>
    <w:rsid w:val="00455DBB"/>
    <w:rsid w:val="004653BF"/>
    <w:rsid w:val="00477077"/>
    <w:rsid w:val="004803C8"/>
    <w:rsid w:val="00494B67"/>
    <w:rsid w:val="004F28BF"/>
    <w:rsid w:val="004F2D10"/>
    <w:rsid w:val="0056019E"/>
    <w:rsid w:val="006136BF"/>
    <w:rsid w:val="0068044A"/>
    <w:rsid w:val="00690E3D"/>
    <w:rsid w:val="00695E92"/>
    <w:rsid w:val="006B2219"/>
    <w:rsid w:val="006F573A"/>
    <w:rsid w:val="007104FF"/>
    <w:rsid w:val="007314A3"/>
    <w:rsid w:val="007442E3"/>
    <w:rsid w:val="007B04BC"/>
    <w:rsid w:val="007B473C"/>
    <w:rsid w:val="00845838"/>
    <w:rsid w:val="00871A8A"/>
    <w:rsid w:val="00873DA3"/>
    <w:rsid w:val="00876473"/>
    <w:rsid w:val="00886474"/>
    <w:rsid w:val="00897FFE"/>
    <w:rsid w:val="008A6F69"/>
    <w:rsid w:val="008D4BA8"/>
    <w:rsid w:val="008F72DB"/>
    <w:rsid w:val="00932702"/>
    <w:rsid w:val="00955B60"/>
    <w:rsid w:val="00992449"/>
    <w:rsid w:val="009E38D8"/>
    <w:rsid w:val="00A45021"/>
    <w:rsid w:val="00AD7BA6"/>
    <w:rsid w:val="00B36011"/>
    <w:rsid w:val="00B56408"/>
    <w:rsid w:val="00B65B9D"/>
    <w:rsid w:val="00C06360"/>
    <w:rsid w:val="00C10DE7"/>
    <w:rsid w:val="00C66D32"/>
    <w:rsid w:val="00C94ECF"/>
    <w:rsid w:val="00DC5F7E"/>
    <w:rsid w:val="00E024B0"/>
    <w:rsid w:val="00E06667"/>
    <w:rsid w:val="00E06682"/>
    <w:rsid w:val="00E06F93"/>
    <w:rsid w:val="00E2633E"/>
    <w:rsid w:val="00F14DC4"/>
    <w:rsid w:val="00F25657"/>
    <w:rsid w:val="00F312FD"/>
    <w:rsid w:val="00F31C04"/>
    <w:rsid w:val="00F5485F"/>
    <w:rsid w:val="00F572EB"/>
    <w:rsid w:val="00FA5FDD"/>
    <w:rsid w:val="00FE7814"/>
    <w:rsid w:val="00FF3145"/>
    <w:rsid w:val="00FF6C4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BCCCAC"/>
  <w15:chartTrackingRefBased/>
  <w15:docId w15:val="{FAFD8BCE-6BE7-4A50-9326-2BB27BB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6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E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0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04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0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0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04F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04F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6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36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631"/>
  </w:style>
  <w:style w:type="paragraph" w:styleId="Sidfot">
    <w:name w:val="footer"/>
    <w:basedOn w:val="Normal"/>
    <w:link w:val="Sidfot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631"/>
  </w:style>
  <w:style w:type="character" w:styleId="Stark">
    <w:name w:val="Strong"/>
    <w:basedOn w:val="Standardstycketeckensnitt"/>
    <w:uiPriority w:val="22"/>
    <w:qFormat/>
    <w:rsid w:val="00477077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0A5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s.se/LIF/startpage?userType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rdgivare.regionostergotland.se/vgw/kunskapsstod/lakemedel/licenslakemedel/regionovergripande-licens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Li@regionostergot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630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Zickerman Johanna</dc:creator>
  <cp:keywords/>
  <dc:description/>
  <cp:lastModifiedBy>Johanna Lind Zickerman</cp:lastModifiedBy>
  <cp:revision>27</cp:revision>
  <dcterms:created xsi:type="dcterms:W3CDTF">2024-02-23T11:48:00Z</dcterms:created>
  <dcterms:modified xsi:type="dcterms:W3CDTF">2025-01-29T09:53:00Z</dcterms:modified>
</cp:coreProperties>
</file>