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2269F0EA" w14:textId="1EB0BDD6" w:rsidR="00187179" w:rsidRPr="00B36011" w:rsidRDefault="00187179" w:rsidP="00187179">
      <w:pPr>
        <w:rPr>
          <w:rStyle w:val="Stark"/>
          <w:rFonts w:ascii="Roboto" w:hAnsi="Roboto"/>
        </w:rPr>
      </w:pPr>
      <w:proofErr w:type="spellStart"/>
      <w:r>
        <w:rPr>
          <w:rStyle w:val="Stark"/>
          <w:rFonts w:ascii="Roboto" w:hAnsi="Roboto"/>
        </w:rPr>
        <w:t>Metoklopramid</w:t>
      </w:r>
      <w:proofErr w:type="spellEnd"/>
      <w:r>
        <w:rPr>
          <w:rStyle w:val="Stark"/>
          <w:rFonts w:ascii="Roboto" w:hAnsi="Roboto"/>
        </w:rPr>
        <w:t xml:space="preserve"> injektionsvätska 5 mg/ml</w:t>
      </w:r>
      <w:r w:rsidR="005B2CD7">
        <w:rPr>
          <w:rStyle w:val="Stark"/>
          <w:rFonts w:ascii="Roboto" w:hAnsi="Roboto"/>
        </w:rPr>
        <w:t xml:space="preserve"> (MCP-</w:t>
      </w:r>
      <w:proofErr w:type="spellStart"/>
      <w:r w:rsidR="005B2CD7">
        <w:rPr>
          <w:rStyle w:val="Stark"/>
          <w:rFonts w:ascii="Roboto" w:hAnsi="Roboto"/>
        </w:rPr>
        <w:t>ratiopharm</w:t>
      </w:r>
      <w:proofErr w:type="spellEnd"/>
      <w:r w:rsidR="005B2CD7">
        <w:rPr>
          <w:rStyle w:val="Stark"/>
          <w:rFonts w:ascii="Roboto" w:hAnsi="Roboto"/>
        </w:rPr>
        <w:t>)</w:t>
      </w:r>
    </w:p>
    <w:p w14:paraId="6F2D8C67" w14:textId="5C8EE070" w:rsidR="001374A1" w:rsidRPr="00B36011" w:rsidRDefault="00873DA3" w:rsidP="001374A1">
      <w:pPr>
        <w:rPr>
          <w:rFonts w:ascii="Roboto" w:hAnsi="Roboto"/>
        </w:rPr>
      </w:pPr>
      <w:r w:rsidRPr="005B2CD7">
        <w:rPr>
          <w:rFonts w:ascii="Roboto" w:hAnsi="Roboto"/>
        </w:rPr>
        <w:t xml:space="preserve">Licensalternativet </w:t>
      </w:r>
      <w:r w:rsidR="001914D2" w:rsidRPr="005B2CD7">
        <w:rPr>
          <w:rFonts w:ascii="Roboto" w:hAnsi="Roboto"/>
        </w:rPr>
        <w:t xml:space="preserve">nedan </w:t>
      </w:r>
      <w:r w:rsidRPr="005B2CD7">
        <w:rPr>
          <w:rFonts w:ascii="Roboto" w:hAnsi="Roboto"/>
        </w:rPr>
        <w:t xml:space="preserve">har bedömts som ett potentiellt alternativ till registrerad produkt. </w:t>
      </w:r>
      <w:r w:rsidR="001374A1" w:rsidRPr="005B2CD7">
        <w:rPr>
          <w:rFonts w:ascii="Roboto" w:hAnsi="Roboto"/>
        </w:rPr>
        <w:t xml:space="preserve">Respektive </w:t>
      </w:r>
      <w:r w:rsidR="000C0005" w:rsidRPr="005B2CD7">
        <w:rPr>
          <w:rFonts w:ascii="Roboto" w:hAnsi="Roboto"/>
        </w:rPr>
        <w:t>vårdenhet</w:t>
      </w:r>
      <w:r w:rsidR="001374A1" w:rsidRPr="005B2CD7">
        <w:rPr>
          <w:rFonts w:ascii="Roboto" w:hAnsi="Roboto"/>
        </w:rPr>
        <w:t xml:space="preserve"> ansvarar för att bedöma om licensläkemedlet kan utgöra ett lämpligt behandlingsalternativ till det registrerade</w:t>
      </w:r>
      <w:r w:rsidR="001374A1" w:rsidRPr="00B36011">
        <w:rPr>
          <w:rFonts w:ascii="Roboto" w:hAnsi="Roboto"/>
        </w:rPr>
        <w:t xml:space="preserve"> läkemedlet för varje specifik situation. </w:t>
      </w:r>
    </w:p>
    <w:p w14:paraId="4558D5DC" w14:textId="77777777" w:rsidR="000F4824" w:rsidRPr="00B36011" w:rsidRDefault="000F4824" w:rsidP="001374A1">
      <w:pPr>
        <w:rPr>
          <w:rFonts w:ascii="Roboto" w:hAnsi="Roboto"/>
        </w:rPr>
      </w:pP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18B90D70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>. Licensläkemedl</w:t>
      </w:r>
      <w:r w:rsidR="00187179">
        <w:rPr>
          <w:rFonts w:ascii="Roboto" w:hAnsi="Roboto"/>
        </w:rPr>
        <w:t xml:space="preserve">ets produktresumé är skriven på </w:t>
      </w:r>
      <w:r w:rsidR="00187179" w:rsidRPr="00187179">
        <w:rPr>
          <w:rFonts w:ascii="Roboto" w:hAnsi="Roboto"/>
          <w:b/>
        </w:rPr>
        <w:t>tyska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  <w:r w:rsidRPr="00B36011">
        <w:rPr>
          <w:rFonts w:ascii="Roboto" w:hAnsi="Roboto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istället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992449" w:rsidRPr="00B36011" w14:paraId="676360FA" w14:textId="77777777" w:rsidTr="00AC77F0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544" w:type="dxa"/>
          </w:tcPr>
          <w:p w14:paraId="21FC74FF" w14:textId="0F6EA56F" w:rsidR="00992449" w:rsidRPr="00B36011" w:rsidRDefault="00187179" w:rsidP="00AC77F0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Primperan</w:t>
            </w:r>
            <w:proofErr w:type="spellEnd"/>
          </w:p>
        </w:tc>
        <w:tc>
          <w:tcPr>
            <w:tcW w:w="3827" w:type="dxa"/>
          </w:tcPr>
          <w:p w14:paraId="6D211B72" w14:textId="325536DE" w:rsidR="00992449" w:rsidRPr="00B36011" w:rsidRDefault="00187179" w:rsidP="00187179">
            <w:pPr>
              <w:rPr>
                <w:rFonts w:ascii="Roboto" w:hAnsi="Roboto"/>
                <w:sz w:val="18"/>
              </w:rPr>
            </w:pPr>
            <w:r w:rsidRPr="00187179">
              <w:rPr>
                <w:rFonts w:ascii="Roboto" w:hAnsi="Roboto"/>
                <w:sz w:val="18"/>
              </w:rPr>
              <w:t>MCP-</w:t>
            </w:r>
            <w:proofErr w:type="spellStart"/>
            <w:r w:rsidRPr="00187179">
              <w:rPr>
                <w:rFonts w:ascii="Roboto" w:hAnsi="Roboto"/>
                <w:sz w:val="18"/>
              </w:rPr>
              <w:t>ratiopharm</w:t>
            </w:r>
            <w:proofErr w:type="spellEnd"/>
            <w:r w:rsidRPr="00187179">
              <w:rPr>
                <w:rFonts w:ascii="Roboto" w:hAnsi="Roboto"/>
                <w:sz w:val="18"/>
              </w:rPr>
              <w:t xml:space="preserve">® SF </w:t>
            </w:r>
          </w:p>
        </w:tc>
      </w:tr>
      <w:tr w:rsidR="00FF6C45" w:rsidRPr="00B36011" w14:paraId="1AC55956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544" w:type="dxa"/>
          </w:tcPr>
          <w:p w14:paraId="7FE5D063" w14:textId="77777777" w:rsidR="00187179" w:rsidRDefault="00187179" w:rsidP="00187179">
            <w:pPr>
              <w:rPr>
                <w:rFonts w:ascii="Roboto" w:hAnsi="Roboto"/>
                <w:sz w:val="18"/>
              </w:rPr>
            </w:pPr>
            <w:r w:rsidRPr="00562569">
              <w:rPr>
                <w:rFonts w:ascii="Roboto" w:hAnsi="Roboto"/>
                <w:sz w:val="18"/>
              </w:rPr>
              <w:t>Sanofi AB</w:t>
            </w:r>
            <w:r>
              <w:rPr>
                <w:rFonts w:ascii="Roboto" w:hAnsi="Roboto"/>
                <w:sz w:val="18"/>
              </w:rPr>
              <w:t xml:space="preserve">, </w:t>
            </w:r>
          </w:p>
          <w:p w14:paraId="2E785250" w14:textId="77777777" w:rsidR="00187179" w:rsidRDefault="00187179" w:rsidP="00187179">
            <w:pPr>
              <w:rPr>
                <w:rFonts w:ascii="Roboto" w:hAnsi="Roboto"/>
                <w:sz w:val="18"/>
              </w:rPr>
            </w:pPr>
            <w:r w:rsidRPr="000A391A">
              <w:rPr>
                <w:rFonts w:ascii="Roboto" w:hAnsi="Roboto"/>
                <w:sz w:val="18"/>
              </w:rPr>
              <w:t>8653</w:t>
            </w:r>
            <w:r>
              <w:rPr>
                <w:rFonts w:ascii="Roboto" w:hAnsi="Roboto"/>
                <w:sz w:val="18"/>
              </w:rPr>
              <w:t xml:space="preserve">, </w:t>
            </w:r>
          </w:p>
          <w:p w14:paraId="292CC955" w14:textId="58FA93B7" w:rsidR="00871A8A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SPC senast reviderad: </w:t>
            </w:r>
            <w:r w:rsidRPr="002C43E8">
              <w:rPr>
                <w:rFonts w:ascii="Roboto" w:hAnsi="Roboto"/>
                <w:sz w:val="18"/>
              </w:rPr>
              <w:t>2023-03-23</w:t>
            </w:r>
          </w:p>
        </w:tc>
        <w:tc>
          <w:tcPr>
            <w:tcW w:w="3827" w:type="dxa"/>
          </w:tcPr>
          <w:p w14:paraId="619694D3" w14:textId="77777777" w:rsidR="00187179" w:rsidRPr="00187179" w:rsidRDefault="00187179" w:rsidP="00187179">
            <w:pPr>
              <w:rPr>
                <w:rFonts w:ascii="Roboto" w:hAnsi="Roboto"/>
                <w:sz w:val="18"/>
              </w:rPr>
            </w:pPr>
            <w:proofErr w:type="spellStart"/>
            <w:r w:rsidRPr="00187179">
              <w:rPr>
                <w:rFonts w:ascii="Roboto" w:hAnsi="Roboto"/>
                <w:sz w:val="18"/>
              </w:rPr>
              <w:t>ratiopharm</w:t>
            </w:r>
            <w:proofErr w:type="spellEnd"/>
            <w:r w:rsidRPr="00187179">
              <w:rPr>
                <w:rFonts w:ascii="Roboto" w:hAnsi="Roboto"/>
                <w:sz w:val="18"/>
              </w:rPr>
              <w:t xml:space="preserve"> GmbH </w:t>
            </w:r>
          </w:p>
          <w:p w14:paraId="3EAEE711" w14:textId="77777777" w:rsidR="00187179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Godkännandenummer: </w:t>
            </w:r>
            <w:proofErr w:type="gramStart"/>
            <w:r w:rsidRPr="00187179">
              <w:rPr>
                <w:rFonts w:ascii="Roboto" w:hAnsi="Roboto"/>
                <w:sz w:val="18"/>
              </w:rPr>
              <w:t>3129.00</w:t>
            </w:r>
            <w:proofErr w:type="gramEnd"/>
            <w:r w:rsidRPr="00187179">
              <w:rPr>
                <w:rFonts w:ascii="Roboto" w:hAnsi="Roboto"/>
                <w:sz w:val="18"/>
              </w:rPr>
              <w:t>.00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349859" w14:textId="7832ED0C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SPC senast reviderad: 2023-03-11</w:t>
            </w:r>
          </w:p>
        </w:tc>
      </w:tr>
      <w:tr w:rsidR="00992449" w:rsidRPr="00B36011" w14:paraId="7723D732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992449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544" w:type="dxa"/>
          </w:tcPr>
          <w:p w14:paraId="13CFEE43" w14:textId="0EB4B46E" w:rsidR="00992449" w:rsidRPr="00B36011" w:rsidRDefault="00187179" w:rsidP="00AC77F0">
            <w:pPr>
              <w:rPr>
                <w:rFonts w:ascii="Roboto" w:hAnsi="Roboto"/>
                <w:sz w:val="18"/>
              </w:rPr>
            </w:pPr>
            <w:r w:rsidRPr="00F52758">
              <w:rPr>
                <w:rFonts w:ascii="Roboto" w:hAnsi="Roboto"/>
                <w:sz w:val="18"/>
              </w:rPr>
              <w:t>Injektionsvätska</w:t>
            </w:r>
          </w:p>
        </w:tc>
        <w:tc>
          <w:tcPr>
            <w:tcW w:w="3827" w:type="dxa"/>
          </w:tcPr>
          <w:p w14:paraId="2AF43F0E" w14:textId="14C78418" w:rsidR="00187179" w:rsidRPr="00B36011" w:rsidRDefault="00187179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Injektionslösning</w:t>
            </w:r>
          </w:p>
        </w:tc>
      </w:tr>
      <w:tr w:rsidR="00187179" w:rsidRPr="00B36011" w14:paraId="1ABD075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544" w:type="dxa"/>
          </w:tcPr>
          <w:p w14:paraId="6567852C" w14:textId="17470BB3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5 mg/ml</w:t>
            </w:r>
          </w:p>
        </w:tc>
        <w:tc>
          <w:tcPr>
            <w:tcW w:w="3827" w:type="dxa"/>
          </w:tcPr>
          <w:p w14:paraId="4F6CC48C" w14:textId="21DCC73D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5 mg/ml (angiven som </w:t>
            </w:r>
            <w:r w:rsidRPr="00187179">
              <w:rPr>
                <w:rFonts w:ascii="Roboto" w:hAnsi="Roboto"/>
                <w:sz w:val="18"/>
              </w:rPr>
              <w:t>10 mg/2 ml</w:t>
            </w:r>
            <w:r>
              <w:rPr>
                <w:rFonts w:ascii="Roboto" w:hAnsi="Roboto"/>
                <w:sz w:val="18"/>
              </w:rPr>
              <w:t>)</w:t>
            </w:r>
          </w:p>
        </w:tc>
      </w:tr>
      <w:tr w:rsidR="00187179" w:rsidRPr="00B36011" w14:paraId="43B9493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544" w:type="dxa"/>
          </w:tcPr>
          <w:p w14:paraId="1F461663" w14:textId="5839096C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proofErr w:type="spellStart"/>
            <w:r w:rsidRPr="00DA07C3">
              <w:rPr>
                <w:rFonts w:ascii="Roboto" w:hAnsi="Roboto"/>
                <w:sz w:val="18"/>
              </w:rPr>
              <w:t>metoklopramidhydroklorid</w:t>
            </w:r>
            <w:proofErr w:type="spellEnd"/>
            <w:r w:rsidRPr="00DA07C3">
              <w:rPr>
                <w:rFonts w:ascii="Roboto" w:hAnsi="Roboto"/>
                <w:sz w:val="18"/>
              </w:rPr>
              <w:t xml:space="preserve"> monohydrat</w:t>
            </w:r>
          </w:p>
        </w:tc>
        <w:tc>
          <w:tcPr>
            <w:tcW w:w="3827" w:type="dxa"/>
          </w:tcPr>
          <w:p w14:paraId="5ED59B72" w14:textId="3AFBFDF4" w:rsidR="00187179" w:rsidRPr="00B36011" w:rsidRDefault="003E0E60" w:rsidP="00187179">
            <w:pPr>
              <w:rPr>
                <w:rFonts w:ascii="Roboto" w:hAnsi="Roboto"/>
                <w:sz w:val="18"/>
              </w:rPr>
            </w:pPr>
            <w:proofErr w:type="spellStart"/>
            <w:r w:rsidRPr="00DA07C3">
              <w:rPr>
                <w:rFonts w:ascii="Roboto" w:hAnsi="Roboto"/>
                <w:sz w:val="18"/>
              </w:rPr>
              <w:t>metoklopramidhydroklorid</w:t>
            </w:r>
            <w:proofErr w:type="spellEnd"/>
          </w:p>
        </w:tc>
      </w:tr>
      <w:tr w:rsidR="00187179" w:rsidRPr="00B36011" w14:paraId="502C941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066DEFE7" w14:textId="6B840EB5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pH</w:t>
            </w:r>
          </w:p>
        </w:tc>
        <w:tc>
          <w:tcPr>
            <w:tcW w:w="3544" w:type="dxa"/>
          </w:tcPr>
          <w:p w14:paraId="42992944" w14:textId="443513F0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4-7</w:t>
            </w:r>
          </w:p>
        </w:tc>
        <w:tc>
          <w:tcPr>
            <w:tcW w:w="3827" w:type="dxa"/>
          </w:tcPr>
          <w:p w14:paraId="08D0DFF6" w14:textId="6991F75F" w:rsidR="003E0E60" w:rsidRPr="00B36011" w:rsidRDefault="003E0E60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Information saknas </w:t>
            </w:r>
          </w:p>
        </w:tc>
      </w:tr>
      <w:tr w:rsidR="00187179" w:rsidRPr="00B36011" w14:paraId="0021AD0B" w14:textId="77777777" w:rsidTr="006E2C95">
        <w:tc>
          <w:tcPr>
            <w:tcW w:w="2268" w:type="dxa"/>
            <w:shd w:val="clear" w:color="auto" w:fill="F2F2F2" w:themeFill="background1" w:themeFillShade="F2"/>
          </w:tcPr>
          <w:p w14:paraId="593936C0" w14:textId="67DE560F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 xml:space="preserve">Hjälpämnen </w:t>
            </w:r>
            <w:r w:rsidRPr="00B36011">
              <w:rPr>
                <w:rFonts w:ascii="Roboto" w:hAnsi="Roboto"/>
                <w:b/>
                <w:i/>
                <w:sz w:val="18"/>
              </w:rPr>
              <w:br/>
            </w:r>
            <w:r>
              <w:rPr>
                <w:rFonts w:ascii="Roboto" w:hAnsi="Roboto"/>
                <w:b/>
                <w:i/>
                <w:sz w:val="18"/>
              </w:rPr>
              <w:t xml:space="preserve">(ev. angiven </w:t>
            </w:r>
            <w:proofErr w:type="spellStart"/>
            <w:r w:rsidR="002C43E8">
              <w:rPr>
                <w:rFonts w:ascii="Roboto" w:hAnsi="Roboto"/>
                <w:b/>
                <w:i/>
                <w:sz w:val="18"/>
              </w:rPr>
              <w:t>konc</w:t>
            </w:r>
            <w:proofErr w:type="spellEnd"/>
            <w:r w:rsidR="002C43E8">
              <w:rPr>
                <w:rFonts w:ascii="Roboto" w:hAnsi="Roboto"/>
                <w:b/>
                <w:i/>
                <w:sz w:val="18"/>
              </w:rPr>
              <w:t>.</w:t>
            </w:r>
            <w:r>
              <w:rPr>
                <w:rFonts w:ascii="Roboto" w:hAnsi="Roboto"/>
                <w:b/>
                <w:i/>
                <w:sz w:val="18"/>
              </w:rPr>
              <w:t>)</w:t>
            </w:r>
          </w:p>
        </w:tc>
        <w:tc>
          <w:tcPr>
            <w:tcW w:w="3544" w:type="dxa"/>
          </w:tcPr>
          <w:p w14:paraId="3F79CF6D" w14:textId="0C3AA923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</w:t>
            </w:r>
            <w:r w:rsidRPr="00055951">
              <w:rPr>
                <w:rFonts w:ascii="Roboto" w:hAnsi="Roboto"/>
                <w:sz w:val="18"/>
              </w:rPr>
              <w:t>atriumklorid</w:t>
            </w:r>
            <w:r>
              <w:rPr>
                <w:rFonts w:ascii="Roboto" w:hAnsi="Roboto"/>
                <w:sz w:val="18"/>
              </w:rPr>
              <w:t xml:space="preserve"> (7,5 mg/ml)</w:t>
            </w:r>
          </w:p>
        </w:tc>
        <w:tc>
          <w:tcPr>
            <w:tcW w:w="3827" w:type="dxa"/>
          </w:tcPr>
          <w:p w14:paraId="02D7583A" w14:textId="0F737243" w:rsidR="00187179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Natriumklorid, </w:t>
            </w:r>
          </w:p>
          <w:p w14:paraId="4284EA6A" w14:textId="547A71ED" w:rsidR="00187179" w:rsidRPr="00B36011" w:rsidRDefault="003E0E60" w:rsidP="00187179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HCl</w:t>
            </w:r>
            <w:proofErr w:type="spellEnd"/>
            <w:r>
              <w:rPr>
                <w:rFonts w:ascii="Roboto" w:hAnsi="Roboto"/>
                <w:sz w:val="18"/>
              </w:rPr>
              <w:t xml:space="preserve"> (0,37 %)</w:t>
            </w:r>
          </w:p>
        </w:tc>
      </w:tr>
      <w:tr w:rsidR="00187179" w:rsidRPr="00B36011" w14:paraId="58A0A228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544" w:type="dxa"/>
            <w:shd w:val="clear" w:color="auto" w:fill="auto"/>
          </w:tcPr>
          <w:p w14:paraId="026D3929" w14:textId="4CF203EB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Hanteringsanvisningar saknas.  </w:t>
            </w:r>
          </w:p>
        </w:tc>
        <w:tc>
          <w:tcPr>
            <w:tcW w:w="3827" w:type="dxa"/>
            <w:shd w:val="clear" w:color="auto" w:fill="auto"/>
          </w:tcPr>
          <w:p w14:paraId="28B591A1" w14:textId="4531814E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Öppnad ampull sparas </w:t>
            </w:r>
            <w:proofErr w:type="gramStart"/>
            <w:r>
              <w:rPr>
                <w:rFonts w:ascii="Roboto" w:hAnsi="Roboto"/>
                <w:sz w:val="18"/>
              </w:rPr>
              <w:t>ej</w:t>
            </w:r>
            <w:proofErr w:type="gramEnd"/>
            <w:r>
              <w:rPr>
                <w:rFonts w:ascii="Roboto" w:hAnsi="Roboto"/>
                <w:sz w:val="18"/>
              </w:rPr>
              <w:t xml:space="preserve">, </w:t>
            </w:r>
            <w:r>
              <w:rPr>
                <w:rFonts w:ascii="Roboto" w:hAnsi="Roboto"/>
                <w:sz w:val="18"/>
              </w:rPr>
              <w:br/>
              <w:t xml:space="preserve">Särskilda förvaringsanvisningar saknas. </w:t>
            </w:r>
          </w:p>
        </w:tc>
      </w:tr>
      <w:tr w:rsidR="00187179" w:rsidRPr="00B36011" w14:paraId="49F5A9D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79BC1D" w14:textId="7278BC1E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Förpackningsstorlek</w:t>
            </w:r>
          </w:p>
        </w:tc>
        <w:tc>
          <w:tcPr>
            <w:tcW w:w="3544" w:type="dxa"/>
            <w:shd w:val="clear" w:color="auto" w:fill="auto"/>
          </w:tcPr>
          <w:p w14:paraId="4A32675F" w14:textId="76690B32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12 x 2 ml</w:t>
            </w:r>
          </w:p>
        </w:tc>
        <w:tc>
          <w:tcPr>
            <w:tcW w:w="3827" w:type="dxa"/>
            <w:shd w:val="clear" w:color="auto" w:fill="auto"/>
          </w:tcPr>
          <w:p w14:paraId="0AB48241" w14:textId="26A13AB8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5 x 2 ml </w:t>
            </w:r>
          </w:p>
        </w:tc>
      </w:tr>
      <w:tr w:rsidR="00187179" w:rsidRPr="00B36011" w14:paraId="5ADD3DE9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F06283" w14:textId="1C7FFEF5" w:rsidR="00187179" w:rsidRPr="00B36011" w:rsidRDefault="00187179" w:rsidP="00187179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Övrigt</w:t>
            </w:r>
          </w:p>
        </w:tc>
        <w:tc>
          <w:tcPr>
            <w:tcW w:w="3544" w:type="dxa"/>
            <w:shd w:val="clear" w:color="auto" w:fill="auto"/>
          </w:tcPr>
          <w:p w14:paraId="11FFF4C3" w14:textId="77777777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35DA705" w14:textId="589BBC8C" w:rsidR="00187179" w:rsidRPr="00B36011" w:rsidRDefault="00187179" w:rsidP="0018717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Klar, färglös lösning</w:t>
            </w:r>
          </w:p>
        </w:tc>
      </w:tr>
    </w:tbl>
    <w:p w14:paraId="0D83D4CB" w14:textId="2A21E0E8" w:rsidR="00FF3145" w:rsidRPr="00B36011" w:rsidRDefault="00FF3145" w:rsidP="00FF3145">
      <w:pPr>
        <w:rPr>
          <w:rFonts w:ascii="Roboto" w:hAnsi="Roboto"/>
          <w:b/>
        </w:rPr>
      </w:pPr>
    </w:p>
    <w:p w14:paraId="316FE104" w14:textId="20E7D34E" w:rsidR="00FF6C45" w:rsidRPr="00B36011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1AADB738" w14:textId="7255FC90" w:rsidR="005B2CD7" w:rsidRDefault="005B2CD7" w:rsidP="00FF3145">
      <w:pPr>
        <w:rPr>
          <w:rFonts w:ascii="Roboto" w:hAnsi="Roboto"/>
        </w:rPr>
      </w:pPr>
      <w:r>
        <w:rPr>
          <w:rFonts w:ascii="Roboto" w:hAnsi="Roboto"/>
        </w:rPr>
        <w:t>MCP-</w:t>
      </w:r>
      <w:proofErr w:type="spellStart"/>
      <w:r>
        <w:rPr>
          <w:rFonts w:ascii="Roboto" w:hAnsi="Roboto"/>
        </w:rPr>
        <w:t>ratiopharm</w:t>
      </w:r>
      <w:proofErr w:type="spellEnd"/>
      <w:r>
        <w:rPr>
          <w:rFonts w:ascii="Roboto" w:hAnsi="Roboto"/>
        </w:rPr>
        <w:t xml:space="preserve"> kan användas likvärdigt med </w:t>
      </w:r>
      <w:proofErr w:type="spellStart"/>
      <w:r>
        <w:rPr>
          <w:rFonts w:ascii="Roboto" w:hAnsi="Roboto"/>
        </w:rPr>
        <w:t>Primperan</w:t>
      </w:r>
      <w:proofErr w:type="spellEnd"/>
      <w:r>
        <w:rPr>
          <w:rFonts w:ascii="Roboto" w:hAnsi="Roboto"/>
        </w:rPr>
        <w:t xml:space="preserve">. Styrkeangivelsen på licensläkemedlet är 10 mg/2 ml, vilket motsvarar 5 mg/ml. </w:t>
      </w:r>
    </w:p>
    <w:p w14:paraId="69DC112A" w14:textId="776C8EC3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  <w:bookmarkStart w:id="0" w:name="_GoBack"/>
      <w:bookmarkEnd w:id="0"/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A135" w14:textId="77777777" w:rsidR="00F5485F" w:rsidRDefault="00F5485F" w:rsidP="00067631">
      <w:pPr>
        <w:spacing w:after="0" w:line="240" w:lineRule="auto"/>
      </w:pPr>
      <w:r>
        <w:separator/>
      </w:r>
    </w:p>
  </w:endnote>
  <w:endnote w:type="continuationSeparator" w:id="0">
    <w:p w14:paraId="789E7C8C" w14:textId="77777777" w:rsidR="00F5485F" w:rsidRDefault="00F5485F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928C9" w14:textId="77777777" w:rsidR="00187179" w:rsidRDefault="00187179" w:rsidP="00187179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>
      <w:rPr>
        <w:rFonts w:ascii="Roboto" w:hAnsi="Roboto"/>
      </w:rPr>
      <w:t>Licensjämförelse utförd 2024-09-18</w:t>
    </w:r>
    <w:r w:rsidR="00F312FD" w:rsidRPr="00B36011">
      <w:rPr>
        <w:rFonts w:ascii="Roboto" w:hAnsi="Roboto"/>
      </w:rPr>
      <w:t xml:space="preserve"> av</w:t>
    </w:r>
    <w:r w:rsidR="00F312FD" w:rsidRPr="00B36011">
      <w:rPr>
        <w:rFonts w:ascii="Roboto" w:hAnsi="Roboto"/>
      </w:rPr>
      <w:ptab w:relativeTo="margin" w:alignment="right" w:leader="none"/>
    </w:r>
    <w:r w:rsidR="00F312FD" w:rsidRPr="00B36011">
      <w:rPr>
        <w:rFonts w:ascii="Roboto" w:hAnsi="Roboto"/>
      </w:rPr>
      <w:t>Kontrasignerad av</w:t>
    </w:r>
  </w:p>
  <w:p w14:paraId="4922CAE5" w14:textId="2C8A3C8F" w:rsidR="00F312FD" w:rsidRPr="00B36011" w:rsidRDefault="00187179" w:rsidP="00187179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 w:rsidRPr="00187179">
      <w:rPr>
        <w:rFonts w:ascii="Roboto" w:hAnsi="Roboto"/>
      </w:rPr>
      <w:t>Johanna Lind Zickerman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CE6965">
      <w:rPr>
        <w:rFonts w:ascii="Roboto" w:hAnsi="Roboto"/>
      </w:rPr>
      <w:t xml:space="preserve">Henrik </w:t>
    </w:r>
    <w:proofErr w:type="spellStart"/>
    <w:r w:rsidR="00CE6965">
      <w:rPr>
        <w:rFonts w:ascii="Roboto" w:hAnsi="Roboto"/>
      </w:rPr>
      <w:t>Lövborg</w:t>
    </w:r>
    <w:proofErr w:type="spellEnd"/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  <w:t>Läkemedelsinformationscentralen</w:t>
    </w:r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8306" w14:textId="77777777" w:rsidR="00F5485F" w:rsidRDefault="00F5485F" w:rsidP="00067631">
      <w:pPr>
        <w:spacing w:after="0" w:line="240" w:lineRule="auto"/>
      </w:pPr>
      <w:r>
        <w:separator/>
      </w:r>
    </w:p>
  </w:footnote>
  <w:footnote w:type="continuationSeparator" w:id="0">
    <w:p w14:paraId="5D227A32" w14:textId="77777777" w:rsidR="00F5485F" w:rsidRDefault="00F5485F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67631"/>
    <w:rsid w:val="000A54BD"/>
    <w:rsid w:val="000A711B"/>
    <w:rsid w:val="000C0005"/>
    <w:rsid w:val="000C3DB4"/>
    <w:rsid w:val="000F4824"/>
    <w:rsid w:val="0012099F"/>
    <w:rsid w:val="001374A1"/>
    <w:rsid w:val="00187179"/>
    <w:rsid w:val="001914D2"/>
    <w:rsid w:val="001F60DC"/>
    <w:rsid w:val="002C43E8"/>
    <w:rsid w:val="003E0E60"/>
    <w:rsid w:val="003E3813"/>
    <w:rsid w:val="00477077"/>
    <w:rsid w:val="004803C8"/>
    <w:rsid w:val="004F2D10"/>
    <w:rsid w:val="0056019E"/>
    <w:rsid w:val="005B2CD7"/>
    <w:rsid w:val="006136BF"/>
    <w:rsid w:val="0068044A"/>
    <w:rsid w:val="00695E92"/>
    <w:rsid w:val="007104FF"/>
    <w:rsid w:val="007314A3"/>
    <w:rsid w:val="007442E3"/>
    <w:rsid w:val="00871A8A"/>
    <w:rsid w:val="00873DA3"/>
    <w:rsid w:val="00876473"/>
    <w:rsid w:val="00886474"/>
    <w:rsid w:val="00897FFE"/>
    <w:rsid w:val="008D4BA8"/>
    <w:rsid w:val="008F72DB"/>
    <w:rsid w:val="00932702"/>
    <w:rsid w:val="00955B60"/>
    <w:rsid w:val="00992449"/>
    <w:rsid w:val="009E38D8"/>
    <w:rsid w:val="00A45021"/>
    <w:rsid w:val="00AD7BA6"/>
    <w:rsid w:val="00B36011"/>
    <w:rsid w:val="00B56408"/>
    <w:rsid w:val="00B65B9D"/>
    <w:rsid w:val="00C06360"/>
    <w:rsid w:val="00C10DE7"/>
    <w:rsid w:val="00C66D32"/>
    <w:rsid w:val="00C94ECF"/>
    <w:rsid w:val="00CE6965"/>
    <w:rsid w:val="00DC5F7E"/>
    <w:rsid w:val="00E06667"/>
    <w:rsid w:val="00E06F93"/>
    <w:rsid w:val="00E2633E"/>
    <w:rsid w:val="00F14DC4"/>
    <w:rsid w:val="00F25657"/>
    <w:rsid w:val="00F312FD"/>
    <w:rsid w:val="00F31C04"/>
    <w:rsid w:val="00F5485F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s.se/LIF/startpage?userType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@regionostergot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Johanna Lind Zickerman</cp:lastModifiedBy>
  <cp:revision>14</cp:revision>
  <dcterms:created xsi:type="dcterms:W3CDTF">2024-02-23T11:48:00Z</dcterms:created>
  <dcterms:modified xsi:type="dcterms:W3CDTF">2024-09-20T07:19:00Z</dcterms:modified>
</cp:coreProperties>
</file>